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spacing w:after="0" w:line="240" w:lineRule="atLeast"/>
        <w:rPr>
          <w:rFonts w:ascii="Times New Roman" w:hAnsi="Times New Roman" w:cs="Times New Roman"/>
          <w:spacing w:val="-5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pacing w:val="-5"/>
          <w:sz w:val="28"/>
          <w:szCs w:val="28"/>
          <w:highlight w:val="none"/>
          <w:lang w:val="ru-RU"/>
        </w:rPr>
        <w:t xml:space="preserve">Об итогах работы ТФОМС Липецкой области за 2022 год.</w:t>
      </w:r>
      <w:r>
        <w:rPr>
          <w:lang w:val="ru-RU"/>
        </w:rPr>
      </w:r>
      <w:r/>
    </w:p>
    <w:p>
      <w:pPr>
        <w:ind w:firstLine="567"/>
        <w:spacing w:after="0" w:line="240" w:lineRule="atLeast"/>
        <w:rPr>
          <w:rFonts w:ascii="Times New Roman" w:hAnsi="Times New Roman" w:cs="Times New Roman"/>
          <w:spacing w:val="-5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pacing w:val="-5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845"/>
        <w:ind w:firstLine="720"/>
        <w:jc w:val="both"/>
        <w:spacing w:after="0" w:afterAutospacing="0" w:line="283" w:lineRule="atLeast"/>
        <w:tabs>
          <w:tab w:val="left" w:pos="720" w:leader="none"/>
        </w:tabs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За </w:t>
      </w:r>
      <w:r>
        <w:rPr>
          <w:spacing w:val="-5"/>
          <w:sz w:val="28"/>
          <w:szCs w:val="28"/>
          <w:highlight w:val="none"/>
          <w:lang w:val="ru-RU"/>
        </w:rPr>
        <w:t xml:space="preserve">период январь-декабрь </w:t>
      </w:r>
      <w:r>
        <w:rPr>
          <w:sz w:val="28"/>
          <w:szCs w:val="28"/>
          <w:highlight w:val="none"/>
          <w:lang w:val="ru-RU"/>
        </w:rPr>
        <w:t xml:space="preserve">2022 года доходы бюджета территориального фонда ОМС сложились в размере 17 183,2 млн. рублей</w:t>
      </w:r>
      <w:r>
        <w:rPr>
          <w:sz w:val="28"/>
          <w:szCs w:val="28"/>
          <w:highlight w:val="none"/>
          <w:lang w:val="ru-RU"/>
        </w:rPr>
        <w:t xml:space="preserve">, что составляет 100% от утвержденных законом бюджетных назначений и 102,3% к доходам аналогичного периода 2021 года (16 801,0  млн. рублей).</w:t>
      </w:r>
      <w:r>
        <w:rPr>
          <w:lang w:val="ru-RU"/>
        </w:rPr>
      </w:r>
      <w:r/>
    </w:p>
    <w:p>
      <w:pPr>
        <w:pStyle w:val="845"/>
        <w:ind w:firstLine="720"/>
        <w:jc w:val="both"/>
        <w:spacing w:after="0" w:afterAutospacing="0" w:line="283" w:lineRule="atLeast"/>
        <w:tabs>
          <w:tab w:val="left" w:pos="720" w:leader="none"/>
        </w:tabs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В бюджет территориального фонда обязательного медицинского страхования Липецкой области за этот период поступило </w:t>
      </w:r>
      <w:r>
        <w:rPr>
          <w:sz w:val="28"/>
          <w:szCs w:val="28"/>
          <w:highlight w:val="none"/>
          <w:lang w:val="ru-RU"/>
        </w:rPr>
        <w:t xml:space="preserve">сре</w:t>
      </w:r>
      <w:r>
        <w:rPr>
          <w:sz w:val="28"/>
          <w:szCs w:val="28"/>
          <w:highlight w:val="none"/>
          <w:lang w:val="ru-RU"/>
        </w:rPr>
        <w:t xml:space="preserve">дств в в</w:t>
      </w:r>
      <w:r>
        <w:rPr>
          <w:sz w:val="28"/>
          <w:szCs w:val="28"/>
          <w:highlight w:val="none"/>
          <w:lang w:val="ru-RU"/>
        </w:rPr>
        <w:t xml:space="preserve">иде:</w:t>
      </w:r>
      <w:r>
        <w:rPr>
          <w:lang w:val="ru-RU"/>
        </w:rPr>
      </w:r>
      <w:r/>
    </w:p>
    <w:p>
      <w:pPr>
        <w:pStyle w:val="845"/>
        <w:ind w:firstLine="720"/>
        <w:jc w:val="both"/>
        <w:spacing w:after="0" w:afterAutospacing="0" w:line="283" w:lineRule="atLeast"/>
        <w:tabs>
          <w:tab w:val="left" w:pos="720" w:leader="none"/>
        </w:tabs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- субвенции из Федерального фонда обязательного медицинского страхования на финансовое обеспечение организации обязательного медицинского страхования в сумме 16 288,7 млн. рублей; </w:t>
      </w:r>
      <w:r>
        <w:rPr>
          <w:lang w:val="ru-RU"/>
        </w:rPr>
      </w:r>
      <w:r/>
    </w:p>
    <w:p>
      <w:pPr>
        <w:pStyle w:val="845"/>
        <w:ind w:firstLine="720"/>
        <w:jc w:val="both"/>
        <w:spacing w:after="0" w:afterAutospacing="0" w:line="283" w:lineRule="atLeast"/>
        <w:tabs>
          <w:tab w:val="left" w:pos="720" w:leader="none"/>
        </w:tabs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- межбюджетных трансфертов, полученных из областного бюджет</w:t>
      </w:r>
      <w:r>
        <w:rPr>
          <w:sz w:val="28"/>
          <w:szCs w:val="28"/>
          <w:highlight w:val="none"/>
          <w:lang w:val="ru-RU"/>
        </w:rPr>
        <w:t xml:space="preserve">а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размере 102,6 млн. рублей</w:t>
      </w:r>
      <w:r>
        <w:rPr>
          <w:sz w:val="28"/>
          <w:szCs w:val="28"/>
          <w:highlight w:val="none"/>
          <w:lang w:val="ru-RU"/>
        </w:rPr>
        <w:t xml:space="preserve">.</w:t>
      </w:r>
      <w:r>
        <w:rPr>
          <w:lang w:val="ru-RU"/>
        </w:rPr>
      </w:r>
      <w:r/>
    </w:p>
    <w:p>
      <w:pPr>
        <w:pStyle w:val="845"/>
        <w:ind w:firstLine="720"/>
        <w:jc w:val="both"/>
        <w:spacing w:after="0" w:afterAutospacing="0" w:line="283" w:lineRule="atLeast"/>
        <w:tabs>
          <w:tab w:val="left" w:pos="720" w:leader="none"/>
        </w:tabs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Необходимо отметить, что в 2022 году дополнительно из федерально</w:t>
      </w:r>
      <w:r>
        <w:rPr>
          <w:sz w:val="28"/>
          <w:szCs w:val="28"/>
          <w:highlight w:val="none"/>
          <w:lang w:val="ru-RU"/>
        </w:rPr>
        <w:t xml:space="preserve">го бюджета поступили средства (межбюджетные трансферты) на финансирование первичной медицинской помощи в связи с </w:t>
      </w:r>
      <w:r>
        <w:rPr>
          <w:sz w:val="28"/>
          <w:szCs w:val="28"/>
          <w:highlight w:val="none"/>
          <w:lang w:val="ru-RU"/>
        </w:rPr>
        <w:t xml:space="preserve">короновирусной</w:t>
      </w:r>
      <w:r>
        <w:rPr>
          <w:sz w:val="28"/>
          <w:szCs w:val="28"/>
          <w:highlight w:val="none"/>
          <w:lang w:val="ru-RU"/>
        </w:rPr>
        <w:t xml:space="preserve"> инфекцией  в размере 48,4 млн. рублей, а также из областного бюджета были выделены дополнительные трансферты на финансирование м</w:t>
      </w:r>
      <w:r>
        <w:rPr>
          <w:sz w:val="28"/>
          <w:szCs w:val="28"/>
          <w:highlight w:val="none"/>
          <w:lang w:val="ru-RU"/>
        </w:rPr>
        <w:t xml:space="preserve">едицинской помощи по профилю «онкология» в сумме 150,0 млн. рублей. </w:t>
      </w:r>
      <w:r>
        <w:rPr>
          <w:lang w:val="ru-RU"/>
        </w:rPr>
      </w:r>
      <w:r/>
    </w:p>
    <w:p>
      <w:pPr>
        <w:pStyle w:val="845"/>
        <w:ind w:firstLine="720"/>
        <w:jc w:val="both"/>
        <w:spacing w:after="0" w:afterAutospacing="0" w:line="283" w:lineRule="atLeast"/>
        <w:tabs>
          <w:tab w:val="left" w:pos="720" w:leader="none"/>
        </w:tabs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С учетом дополнительных средств из федерального бюджета, поступивших на финансирование медицинской помощи в связи с </w:t>
      </w:r>
      <w:r>
        <w:rPr>
          <w:sz w:val="28"/>
          <w:szCs w:val="28"/>
          <w:highlight w:val="none"/>
          <w:lang w:val="ru-RU"/>
        </w:rPr>
        <w:t xml:space="preserve">коронавирусной</w:t>
      </w:r>
      <w:r>
        <w:rPr>
          <w:sz w:val="28"/>
          <w:szCs w:val="28"/>
          <w:highlight w:val="none"/>
          <w:lang w:val="ru-RU"/>
        </w:rPr>
        <w:t xml:space="preserve"> инфекцией, а также дополнительными трансфертами из облас</w:t>
      </w:r>
      <w:r>
        <w:rPr>
          <w:sz w:val="28"/>
          <w:szCs w:val="28"/>
          <w:highlight w:val="none"/>
          <w:lang w:val="ru-RU"/>
        </w:rPr>
        <w:t xml:space="preserve">тного бюджета на финансирование медпомощи по профилю «онкология» рост доходов фонда по сравнению с предыдущим периодом составил 1 208,4 млн. рублей или 7,9%. 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eastAsia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На выполнение территориальной программы ОМС в части оплаты медицинской помощи за 12 месяцев 2022 года стр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аховыми медицинскими организациями направлено 16 554,8 млн. рублей, что составляет 103,0% к аналогичному показателю прошлого года, в том числе: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eastAsia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- стоимость медицинской помощи, оказанной в амбулаторных условиях утверждена в сумме 5 747,8 млн. рублей, фактическое выполнение с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оставило – 5 905,4 млн. рублей или 102,7% от утвержденной стоимости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;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eastAsia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- стоимость стационарной медицинской помощи утверждена в сумме 7 714,4 млн. рублей, фактическое выполнение составило 7 802,0 млн. рублей или 101,1% 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от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 утвержденной; 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eastAsia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- стоимость медицинской помощи, оказанной в условиях д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невного стационара утверждена в сумме 1 828,1  млн. рублей, фактически выполнено – 1 853,8 млн. рублей или 101,4%  от утвержденной стоимости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;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eastAsia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- стоимость скорой медицинской помощи утверждена в сумме 1 003,1 млн. рублей, фактически выполнено – 993,7 млн. рубл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ей или 99,1% от утвержденного показателя; 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eastAsia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Объемы медицинской помощи, установленные Комиссией по разработке территориальной программы ОМС, выполнены: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eastAsia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- по медицинской помощи, оказанной в амбулаторных условия – на 106,6%, или на 107,4% к уровню прошлого  года (9 982 014 посещений против 9 292 760 посещений в 2021 году);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eastAsia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- по стационарной медицинской помощи – на 100,4%, или на 103,4% к уровню прошлого года (205 105 случаев против 198 449 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случаев в 2021 году);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eastAsia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- по медицинской помощи, оказанной в условиях дневного стационара всех типов - на 90,6%, или на 114,6% к уровню прошлого года (71 404 случаев против 62 326 случаев в 2021 году); 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eastAsia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- по скорой медицинской помощи – на 89,2%, или на  96,3% к уровню аналогичного показателя прошлого г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ода (310 258 вызовов – в прошлом году 322 178 вызовов). 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Среднедушевой норматив финансирования территориальной программы ОМС сложился по результатам 2022 года в размере  14 572,60 рублей на 1 застрахованного жителя области, что составляет 101,9% от 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утвержденн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ого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Программой государственных гарантий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показателя (14 307,65 рублей) и на 5,7% выше прошлогоднего показателя (13 784,76 рублей).</w:t>
      </w:r>
      <w:r>
        <w:rPr>
          <w:lang w:val="ru-RU"/>
        </w:rPr>
      </w:r>
      <w:r/>
    </w:p>
    <w:p>
      <w:pPr>
        <w:pStyle w:val="853"/>
        <w:ind w:firstLine="709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Стоимость специализированной медицинской помощи, оказанной пациентам со злокачественными новообразованиями (ЗНО) в 2022 году 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оставила 2 152,6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млн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(99,9% от запланированной суммы - 2 154,5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млн. рублей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), в том числе в стационарных условиях - 1 288,6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млн. рублей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, дневном стационаре - 864,0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млн. рублей</w:t>
      </w:r>
      <w:r>
        <w:rPr>
          <w:lang w:val="ru-RU"/>
        </w:rPr>
      </w:r>
      <w:r/>
    </w:p>
    <w:p>
      <w:pPr>
        <w:pStyle w:val="853"/>
        <w:ind w:firstLine="709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Средняя стоимость 1 случая специализированного лечения пациентов с ЗНО за отчетный период в целом 67,3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, в стационарных условиях – 59,9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тыс. рублей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, в условиях дневного стационара - 82,5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тыс. рублей.</w:t>
      </w:r>
      <w:r>
        <w:rPr>
          <w:lang w:val="ru-RU"/>
        </w:rPr>
      </w:r>
      <w:r/>
    </w:p>
    <w:p>
      <w:pPr>
        <w:pStyle w:val="853"/>
        <w:ind w:firstLine="709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Стоимость химиотерапии, проведенной пациентам с ЗНО в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2022 году составила 1 680,0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млн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(104% от запланированной суммы - 1 615,8 млн. рублей), в том числе в стационарных условиях - 887,4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млн. рублей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, в условиях дневного стационара - 792,6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млн. рублей.</w:t>
      </w:r>
      <w:r>
        <w:rPr>
          <w:lang w:val="ru-RU"/>
        </w:rPr>
      </w:r>
      <w:r/>
    </w:p>
    <w:p>
      <w:pPr>
        <w:pStyle w:val="853"/>
        <w:ind w:firstLine="709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В структуре объема оказанной медицинской помощи удельный вес х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имиотерапии составил 77% (24 683 госпитализации), в том числе в стационарных условиях - 72% (15 544 госпитализации), в условиях дневного стационара - 87% (9 139 госпитализаций).</w:t>
      </w:r>
      <w:r>
        <w:rPr>
          <w:lang w:val="ru-RU"/>
        </w:rPr>
      </w:r>
      <w:r/>
    </w:p>
    <w:p>
      <w:pPr>
        <w:pStyle w:val="853"/>
        <w:ind w:firstLine="709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r>
      <w:r>
        <w:rPr>
          <w:lang w:val="ru-RU"/>
        </w:rPr>
      </w:r>
      <w:r/>
    </w:p>
    <w:p>
      <w:pPr>
        <w:pStyle w:val="853"/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План диспансеризации взрослого населения на 2022 год составил 299 613 человек. Фактичес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ки осмотрено в рамках диспансеризации – 322 745 человек или 107,7% от утвержденного плана. Предъявлено счетов к оплате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за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проведенную диспансеризацию в рамках 1 и 2 этапа на сумму 761,2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, оплачено 758,9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млн. рублей</w:t>
      </w:r>
      <w:r>
        <w:rPr>
          <w:lang w:val="ru-RU"/>
        </w:rPr>
      </w:r>
      <w:r/>
    </w:p>
    <w:p>
      <w:pPr>
        <w:pStyle w:val="853"/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План профилактических медицински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х осмотров взрослого населения на 2022 год составил 103 859 человек. Фактически осмотрено 94 098 человек на сумму 140,4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, что составило 90,6% от утвержденного плана.</w:t>
      </w:r>
      <w:r>
        <w:rPr>
          <w:lang w:val="ru-RU"/>
        </w:rPr>
      </w:r>
      <w:r/>
    </w:p>
    <w:p>
      <w:pPr>
        <w:pStyle w:val="853"/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План профилактических медицинских осмотров несовершеннолетних на 2022 год сост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авил 208 724 человека. Фактически осмотрено 112 110 человек на сумму 318,5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, что составило 53,7% от утвержденного плана. </w:t>
      </w:r>
      <w:r>
        <w:rPr>
          <w:lang w:val="ru-RU"/>
        </w:rPr>
      </w:r>
      <w:r/>
    </w:p>
    <w:p>
      <w:pPr>
        <w:pStyle w:val="853"/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План диспансеризации детей-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сирот, усыновленных и принятых под опеку на 2022 год составил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1 650 человек. Фактически осмотрено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1 782 человека на сумму 7,4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, что составило 108% от утвержденного плана.</w:t>
      </w:r>
      <w:r>
        <w:rPr>
          <w:lang w:val="ru-RU"/>
        </w:rPr>
      </w:r>
      <w:r/>
    </w:p>
    <w:p>
      <w:pPr>
        <w:pStyle w:val="853"/>
        <w:ind w:firstLine="709"/>
        <w:jc w:val="both"/>
        <w:spacing w:after="0" w:afterAutospacing="0" w:line="283" w:lineRule="atLeast"/>
        <w:tabs>
          <w:tab w:val="left" w:pos="6397" w:leader="none"/>
        </w:tabs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План диспансеризации детей-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сирот, пребывающих в стационарных учреждениях на 2022 год составил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956 человек. Фактически осмотрено 605 человек на сумму 2,4 млн. рублей, что сост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авило 63,3% от утвержденного плана.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Число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пациентов, подлежащих диспансерному наблюдению за отчетный период составило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230 343 человека. Прошли диспансерное наблюдение 159 986 человек или 69% от планового показателя. Всего оплачено реестров счетов в рамках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диспансерного наблюдения за 2022 год  на сумму 56,9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млн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ублей.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color w:val="ff0000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За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2022 год в медицинских организациях Липецкой области было пролечено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26 156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иногородних пациентов на сумму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465,6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ублей.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Согласно, предъявленным медицинскими организациями Лип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ецкой области счетам и реестрам, иногородним пациентам оказана медицинская помощь по следующим основным профилям:</w:t>
      </w:r>
      <w:r>
        <w:rPr>
          <w:lang w:val="ru-RU"/>
        </w:rPr>
      </w:r>
      <w:r/>
    </w:p>
    <w:p>
      <w:pPr>
        <w:pStyle w:val="847"/>
        <w:ind w:left="0" w:firstLine="708"/>
        <w:jc w:val="both"/>
        <w:spacing w:after="0" w:afterAutospacing="0" w:line="283" w:lineRule="atLeast"/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- акушерство и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гинекология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–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3 716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случаев на сумму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25,7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(в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т.ч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 ЭКО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39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случаев на сумму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3,2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млн.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 рублей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);</w:t>
      </w:r>
      <w:r>
        <w:rPr>
          <w:lang w:val="ru-RU"/>
        </w:rPr>
      </w:r>
      <w:r/>
    </w:p>
    <w:p>
      <w:pPr>
        <w:pStyle w:val="847"/>
        <w:ind w:left="709"/>
        <w:jc w:val="both"/>
        <w:spacing w:after="0" w:afterAutospacing="0" w:line="283" w:lineRule="atLeast"/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- офтальмология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–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12 610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случа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ев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на сумму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191,0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;</w:t>
      </w:r>
      <w:r>
        <w:rPr>
          <w:lang w:val="ru-RU"/>
        </w:rPr>
      </w:r>
      <w:r/>
    </w:p>
    <w:p>
      <w:pPr>
        <w:pStyle w:val="847"/>
        <w:ind w:left="709"/>
        <w:jc w:val="both"/>
        <w:spacing w:after="0" w:afterAutospacing="0" w:line="283" w:lineRule="atLeast"/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- онкология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1 516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случаев на сумму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39,9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(в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т.ч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 химиотерапия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4 103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случа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я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на сумму 2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8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,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0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млн. рублей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);</w:t>
      </w:r>
      <w:r>
        <w:rPr>
          <w:lang w:val="ru-RU"/>
        </w:rPr>
      </w:r>
      <w:r/>
    </w:p>
    <w:p>
      <w:pPr>
        <w:pStyle w:val="847"/>
        <w:ind w:left="709"/>
        <w:jc w:val="both"/>
        <w:spacing w:after="0" w:afterAutospacing="0" w:line="283" w:lineRule="atLeast"/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кардиология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1 092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случа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я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на сумму 1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9,8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;</w:t>
      </w:r>
      <w:r>
        <w:rPr>
          <w:lang w:val="ru-RU"/>
        </w:rPr>
      </w:r>
      <w:r/>
    </w:p>
    <w:p>
      <w:pPr>
        <w:pStyle w:val="847"/>
        <w:ind w:left="709"/>
        <w:jc w:val="both"/>
        <w:spacing w:after="0" w:afterAutospacing="0" w:line="283" w:lineRule="atLeast"/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- инфекционные болезни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650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случаев на сумму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15,7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;</w:t>
      </w:r>
      <w:r>
        <w:rPr>
          <w:lang w:val="ru-RU"/>
        </w:rPr>
      </w:r>
      <w:r/>
    </w:p>
    <w:p>
      <w:pPr>
        <w:pStyle w:val="847"/>
        <w:ind w:left="709"/>
        <w:jc w:val="both"/>
        <w:spacing w:after="0" w:afterAutospacing="0" w:line="283" w:lineRule="atLeast"/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- неврология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2 280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случа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ев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на сумму 1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8,5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;</w:t>
      </w:r>
      <w:r>
        <w:rPr>
          <w:lang w:val="ru-RU"/>
        </w:rPr>
      </w:r>
      <w:r/>
    </w:p>
    <w:p>
      <w:pPr>
        <w:pStyle w:val="847"/>
        <w:ind w:left="709"/>
        <w:jc w:val="both"/>
        <w:spacing w:after="0" w:afterAutospacing="0" w:line="283" w:lineRule="atLeast"/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- сердечно-сосудистая хирургия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387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случая на сумму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8,7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;</w:t>
      </w:r>
      <w:r>
        <w:rPr>
          <w:lang w:val="ru-RU"/>
        </w:rPr>
      </w:r>
      <w:r/>
    </w:p>
    <w:p>
      <w:pPr>
        <w:pStyle w:val="847"/>
        <w:ind w:left="709"/>
        <w:jc w:val="both"/>
        <w:spacing w:after="0" w:afterAutospacing="0" w:line="283" w:lineRule="atLeast"/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- травматология и ортопедия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2 522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случаев на сумму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13,0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   </w:t>
      </w:r>
      <w:r>
        <w:rPr>
          <w:lang w:val="ru-RU"/>
        </w:rPr>
      </w:r>
      <w:r/>
    </w:p>
    <w:p>
      <w:pPr>
        <w:pStyle w:val="845"/>
        <w:ind w:firstLine="709"/>
        <w:jc w:val="both"/>
        <w:spacing w:after="0" w:afterAutospacing="0" w:line="283" w:lineRule="atLeast"/>
        <w:rPr>
          <w:color w:val="auto"/>
          <w:sz w:val="28"/>
          <w:szCs w:val="28"/>
          <w:highlight w:val="none"/>
          <w:lang w:val="ru-RU"/>
        </w:rPr>
      </w:pPr>
      <w:r>
        <w:rPr>
          <w:color w:val="auto"/>
          <w:sz w:val="28"/>
          <w:szCs w:val="28"/>
          <w:highlight w:val="none"/>
          <w:lang w:val="ru-RU"/>
        </w:rPr>
        <w:t xml:space="preserve">В медицинских организациях, расположенных на территор</w:t>
      </w:r>
      <w:r>
        <w:rPr>
          <w:color w:val="auto"/>
          <w:sz w:val="28"/>
          <w:szCs w:val="28"/>
          <w:highlight w:val="none"/>
          <w:lang w:val="ru-RU"/>
        </w:rPr>
        <w:t xml:space="preserve">иях других субъектов Российской Федерации за </w:t>
      </w:r>
      <w:r>
        <w:rPr>
          <w:color w:val="auto"/>
          <w:sz w:val="28"/>
          <w:szCs w:val="28"/>
          <w:highlight w:val="none"/>
          <w:lang w:val="ru-RU"/>
        </w:rPr>
        <w:t xml:space="preserve">2022 год</w:t>
      </w:r>
      <w:r>
        <w:rPr>
          <w:color w:val="auto"/>
          <w:sz w:val="28"/>
          <w:szCs w:val="28"/>
          <w:highlight w:val="none"/>
          <w:lang w:val="ru-RU"/>
        </w:rPr>
        <w:t xml:space="preserve"> получили медицинскую помощь </w:t>
      </w:r>
      <w:r>
        <w:rPr>
          <w:color w:val="auto"/>
          <w:sz w:val="28"/>
          <w:szCs w:val="28"/>
          <w:highlight w:val="none"/>
          <w:lang w:val="ru-RU"/>
        </w:rPr>
        <w:t xml:space="preserve">26 201</w:t>
      </w:r>
      <w:r>
        <w:rPr>
          <w:color w:val="auto"/>
          <w:sz w:val="28"/>
          <w:szCs w:val="28"/>
          <w:highlight w:val="none"/>
          <w:lang w:val="ru-RU"/>
        </w:rPr>
        <w:t xml:space="preserve"> пациент</w:t>
      </w:r>
      <w:r>
        <w:rPr>
          <w:color w:val="auto"/>
          <w:sz w:val="28"/>
          <w:szCs w:val="28"/>
          <w:highlight w:val="none"/>
          <w:lang w:val="ru-RU"/>
        </w:rPr>
        <w:t xml:space="preserve">, застрахованных на территории Липецкой области. Сумма оплаты оказанной медицинской помощи составила </w:t>
      </w:r>
      <w:r>
        <w:rPr>
          <w:color w:val="auto"/>
          <w:sz w:val="28"/>
          <w:szCs w:val="28"/>
          <w:highlight w:val="none"/>
          <w:lang w:val="ru-RU"/>
        </w:rPr>
        <w:t xml:space="preserve">592,4</w:t>
      </w:r>
      <w:r>
        <w:rPr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color w:val="auto"/>
          <w:sz w:val="28"/>
          <w:szCs w:val="28"/>
          <w:highlight w:val="none"/>
          <w:lang w:val="ru-RU"/>
        </w:rPr>
        <w:t xml:space="preserve">млн</w:t>
      </w:r>
      <w:r>
        <w:rPr>
          <w:color w:val="auto"/>
          <w:sz w:val="28"/>
          <w:szCs w:val="28"/>
          <w:highlight w:val="none"/>
          <w:lang w:val="ru-RU"/>
        </w:rPr>
        <w:t xml:space="preserve">. р</w:t>
      </w:r>
      <w:r>
        <w:rPr>
          <w:color w:val="auto"/>
          <w:sz w:val="28"/>
          <w:szCs w:val="28"/>
          <w:highlight w:val="none"/>
          <w:lang w:val="ru-RU"/>
        </w:rPr>
        <w:t xml:space="preserve">ублей</w:t>
      </w:r>
      <w:r>
        <w:rPr>
          <w:color w:val="auto"/>
          <w:sz w:val="28"/>
          <w:szCs w:val="28"/>
          <w:highlight w:val="none"/>
          <w:lang w:val="ru-RU"/>
        </w:rPr>
        <w:t xml:space="preserve">, в том числе по высокотехноло</w:t>
      </w:r>
      <w:r>
        <w:rPr>
          <w:color w:val="auto"/>
          <w:sz w:val="28"/>
          <w:szCs w:val="28"/>
          <w:highlight w:val="none"/>
          <w:lang w:val="ru-RU"/>
        </w:rPr>
        <w:t xml:space="preserve">гичной медицинской помощи </w:t>
      </w:r>
      <w:r>
        <w:rPr>
          <w:color w:val="auto"/>
          <w:sz w:val="28"/>
          <w:szCs w:val="28"/>
          <w:highlight w:val="none"/>
          <w:lang w:val="ru-RU"/>
        </w:rPr>
        <w:t xml:space="preserve">–</w:t>
      </w:r>
      <w:r>
        <w:rPr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color w:val="auto"/>
          <w:sz w:val="28"/>
          <w:szCs w:val="28"/>
          <w:highlight w:val="none"/>
          <w:lang w:val="ru-RU"/>
        </w:rPr>
        <w:t xml:space="preserve">84,9</w:t>
      </w:r>
      <w:r>
        <w:rPr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color w:val="auto"/>
          <w:sz w:val="28"/>
          <w:szCs w:val="28"/>
          <w:highlight w:val="none"/>
          <w:lang w:val="ru-RU"/>
        </w:rPr>
        <w:t xml:space="preserve">млн. рублей.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Согласно предъявленным, те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рриториальными фондами ОМС других субъектов Российской Федерации, счетам и реестрам за оказанную медицинскую помощь пациентам, застрахованным на территории Липецкой области, за отчетный период медицинская помощь была оказана по следующим основным профилям:</w:t>
      </w:r>
      <w:r>
        <w:rPr>
          <w:lang w:val="ru-RU"/>
        </w:rPr>
      </w:r>
      <w:r/>
    </w:p>
    <w:p>
      <w:pPr>
        <w:pStyle w:val="847"/>
        <w:ind w:left="0" w:firstLine="708"/>
        <w:jc w:val="both"/>
        <w:spacing w:after="0" w:afterAutospacing="0" w:line="283" w:lineRule="atLeast"/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- акушерство и гинекология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2 912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случая на сумму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29,8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(в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т.ч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 ЭКО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37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случая на сумму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4,1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млн. рублей);</w:t>
      </w:r>
      <w:r>
        <w:rPr>
          <w:lang w:val="ru-RU"/>
        </w:rPr>
      </w:r>
      <w:r/>
    </w:p>
    <w:p>
      <w:pPr>
        <w:pStyle w:val="847"/>
        <w:ind w:left="709"/>
        <w:jc w:val="both"/>
        <w:spacing w:after="0" w:afterAutospacing="0" w:line="283" w:lineRule="atLeast"/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офтальмология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4 875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случаев на сумму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26,4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.р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;</w:t>
      </w:r>
      <w:r>
        <w:rPr>
          <w:lang w:val="ru-RU"/>
        </w:rPr>
      </w:r>
      <w:r/>
    </w:p>
    <w:p>
      <w:pPr>
        <w:pStyle w:val="847"/>
        <w:ind w:left="709"/>
        <w:jc w:val="both"/>
        <w:spacing w:after="0" w:afterAutospacing="0" w:line="283" w:lineRule="atLeast"/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- онкология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6 372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случаев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на сумму 183,8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(в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т.ч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 - </w:t>
      </w:r>
      <w:r>
        <w:rPr>
          <w:lang w:val="ru-RU"/>
        </w:rPr>
      </w:r>
      <w:r/>
    </w:p>
    <w:p>
      <w:pPr>
        <w:pStyle w:val="847"/>
        <w:ind w:left="0" w:right="0" w:firstLine="0"/>
        <w:jc w:val="both"/>
        <w:spacing w:after="0" w:afterAutospacing="0" w:line="283" w:lineRule="atLeast"/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химиотерапия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- 504</w:t>
      </w:r>
      <w:bookmarkStart w:id="0" w:name="_GoBack"/>
      <w:r>
        <w:rPr>
          <w:lang w:val="ru-RU"/>
        </w:rPr>
      </w:r>
      <w:bookmarkEnd w:id="0"/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случая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на сумму 129,8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млн. рублей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);</w:t>
      </w:r>
      <w:r>
        <w:rPr>
          <w:lang w:val="ru-RU"/>
        </w:rPr>
      </w:r>
      <w:r/>
    </w:p>
    <w:p>
      <w:pPr>
        <w:pStyle w:val="847"/>
        <w:ind w:left="709"/>
        <w:jc w:val="both"/>
        <w:spacing w:after="0" w:afterAutospacing="0" w:line="283" w:lineRule="atLeast"/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кардиология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1 711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случаев на сумму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20,2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;</w:t>
      </w:r>
      <w:r>
        <w:rPr>
          <w:lang w:val="ru-RU"/>
        </w:rPr>
      </w:r>
      <w:r/>
    </w:p>
    <w:p>
      <w:pPr>
        <w:pStyle w:val="847"/>
        <w:ind w:left="709"/>
        <w:jc w:val="both"/>
        <w:spacing w:after="0" w:afterAutospacing="0" w:line="283" w:lineRule="atLeast"/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- инфекционные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болезни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889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случа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ев на сумму 2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8,9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;</w:t>
      </w:r>
      <w:r>
        <w:rPr>
          <w:lang w:val="ru-RU"/>
        </w:rPr>
      </w:r>
      <w:r/>
    </w:p>
    <w:p>
      <w:pPr>
        <w:pStyle w:val="847"/>
        <w:ind w:left="709"/>
        <w:jc w:val="both"/>
        <w:spacing w:after="0" w:afterAutospacing="0" w:line="283" w:lineRule="atLeast"/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- неврология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1664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случаев на сумму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15,8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;</w:t>
      </w:r>
      <w:r>
        <w:rPr>
          <w:lang w:val="ru-RU"/>
        </w:rPr>
      </w:r>
      <w:r/>
    </w:p>
    <w:p>
      <w:pPr>
        <w:pStyle w:val="847"/>
        <w:ind w:left="709"/>
        <w:jc w:val="both"/>
        <w:spacing w:after="0" w:afterAutospacing="0" w:line="283" w:lineRule="atLeast"/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- сердечно-сосудистая хирургия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474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случа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я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на сумму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29,1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;</w:t>
      </w:r>
      <w:r>
        <w:rPr>
          <w:lang w:val="ru-RU"/>
        </w:rPr>
      </w:r>
      <w:r/>
    </w:p>
    <w:p>
      <w:pPr>
        <w:pStyle w:val="847"/>
        <w:ind w:left="709"/>
        <w:jc w:val="both"/>
        <w:spacing w:after="0" w:afterAutospacing="0" w:line="283" w:lineRule="atLeast"/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- травматология и ортопедия -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3159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случаев на сумму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71,8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.</w:t>
      </w:r>
      <w:r>
        <w:rPr>
          <w:lang w:val="ru-RU"/>
        </w:rPr>
      </w:r>
      <w:r/>
    </w:p>
    <w:p>
      <w:pPr>
        <w:pStyle w:val="847"/>
        <w:ind w:left="709"/>
        <w:jc w:val="both"/>
        <w:spacing w:after="0" w:afterAutospacing="0" w:line="283" w:lineRule="atLeast"/>
        <w:rPr>
          <w:rFonts w:ascii="Times New Roman" w:hAnsi="Times New Roman" w:cs="Times New Roman"/>
          <w:color w:val="ff0000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none"/>
          <w:lang w:val="ru-RU"/>
        </w:rPr>
        <w:t xml:space="preserve">   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eastAsia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Расходы медицинских организаций за 12 месяцев 2022 года составили 16 557,2 млн. рублей, что выше показателя прошлого года на 10,8% или на 1 612,5 млн. 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рублей (14 944,7  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млн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. р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ублей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), в том числе: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eastAsia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- на оплату труда с начислениями – 10 712,4 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млн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. р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ублей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, что составляет 110,7% от уровня прошлого года (9 677,0 млн. рублей);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eastAsia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 - оплата за медикаменты – 3 445,5 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млн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. р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ублей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 или с ростом на 10,2% к уровню прошл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ого года (3 127,8 млн. рублей); 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eastAsia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 - оплата за продукты питания – 222,3 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млн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. р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ублей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, что выше показателя прошлого года на 13,8% (195,4  млн. рублей);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eastAsia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 - оплата коммунальных услуг – 476,2 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млн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. р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ублей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, что выше уровня прошлого года на 13,5% (419,6 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млн. рублей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).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eastAsia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Наибольшую долю в структуре расходов занимают расходы на заработную плату с начислениями – 64,7%, при этом темпы роста в сравнении с предыдущим периодом расходов на приобретение продуктов питания и оплату коммунальных услуг (соответственно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/>
        </w:rPr>
        <w:t xml:space="preserve"> 13,8% и 13,5%), превышают темпы роста по другим статьям расходов, в том числе и расходов на заработную плату с начислениями.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Средняя заработная плата работников государственных медицинских организаций Липецкой области в системе ОМС составила 35,77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тыс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уб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лей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, что на 13,7% выше аналогичного показателя прошлого года (31,47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тыс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) в том числе: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- по амбулаторно-поликлиническому звену средняя зарплата медицинских работников по сравнению с прошлым годом возросла на 10,6 % и составила 37,20 тыс. рублей (2021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год - 33,63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тыс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);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- в стационарном звене рост средней зарплаты медицинских работников составил 14,7 % - 46,77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тыс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(2021 год - 40,76 тыс. рублей); 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- в подразделениях скорой помощи средняя зарплата медицинских работников из средств ОМС состав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ила 40,36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тыс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, рост составил 9,6 % (2021 год - 36,81 тыс. рублей).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В отчетном периоде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средняя заработная плата по категориям персонала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по сравнению с аналогичным периодом прошлого года сложилась следующим образом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: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- по врачебным кадрам средняя зарплата увеличилась на 14,0% и составила 67,10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тыс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 р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 (58,88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тыс.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 рублей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 за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2021 год)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;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- по среднему медперсоналу рост средней зарплаты составил 12,9 % - 34,83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тыс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р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(30,85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тыс.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 рублей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 за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2021 год)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;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- по младшему медиц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инскому персоналу средняя зарплата увеличилась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на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 17,1% и составила 33,32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тыс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 р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(28,46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тыс.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 рублей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 за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2021 год)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;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- по прочему персоналу рост средней зарплаты составил 14,5% - 22,69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тыс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. 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р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(19,81тыс.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 рублей за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2021 год)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;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- по АУП средняя зарплата уве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личилась на 10,5 % и составила 60,31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тыс.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 рублей (54,46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тыс.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 рублей за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2021 год)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.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Во исполнение пункта 7.1 части 2 статьи 20 Федерального закона № 326-Ф3 «Об обязательном медицинском страховании», Правил использования средств нормированного страхово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го запаса ТФОМС Липецкой области в 2022 году подписаны соглашения с 30 медицинскими организациями Липецкой области о финансовом обеспечении мероприятий по организации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дополнительного профессионального образования медицинских работников по программам повыше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ния квалификации, а также по приобретению и проведению ремонта медицинского оборудования. 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В соответствии с утвержденным планом объем финансирования указанных мероприятий на 2022 года составил 40,9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, в том числе на дополнительное профессиональное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образование - 1,8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млн. рублей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(546 медицинских работников), на ремонт медицинского оборудования – 26,4 млн. рублей (38 единиц медицинской техники), на приобретение медицинского оборудования 12,7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млн. рублей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(32 единицы медицинской техники).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На основании распо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ряжения Правительства Российской Федерации от 25.01.2022 № 71-р ТФОМС Липецкой области в целях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софинансирования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расходов медицинских организаций на оплату труда врачей и среднего медицинского персонала предусмотрено на 2022 год денежных средств в сумме 107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,9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млн. рублей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оступило и направлено на формирование нормированного страхового запаса ТФОМС Липецкой области 107,9 млн. рублей.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софинансирования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расходов медицинских организаций на оплату труда врачей и среднего медицинского персонала было заключено 27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трехсторонних соглашений между ТФОМС Липецкой области, управлением здравоохранения Липецкой области и медицинскими организациями.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В 2022 году заявки на оплату труда врачей и среднего медицинского персонала из средств нормированного страхового запаса для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с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офинансирования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расходов медицинских организаций ежемесячно поступали от 27 медицинских организаций, из них 14 медицинских организаций показали прирост численности медицинских работников на общую сумму заработной платы 8,3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В соответствии с Фед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е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ральным законом от 29.11.2010 № 326-ФЗ «Об обязательном медицинском страховании в Российской Федерации» и действующими нормативными документами в области обязательного медицинского страхования, ТФОМС Липецкой области осуществляет контроль использования фин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ансовых средств обязательного медицинского страхования медицинскими организациями и страховыми медицинскими организациями путем проведения проверок. 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Основанием для проведения проверки являлся приказ директора ТФОМС Липецкой области, который определял тему проверки, проверяемый период, руководителя комиссии, состав комиссии, сроки проведения проверки, форму проверки.</w:t>
      </w:r>
      <w:r>
        <w:rPr>
          <w:lang w:val="ru-RU"/>
        </w:rPr>
      </w:r>
      <w:r/>
    </w:p>
    <w:p>
      <w:pPr>
        <w:ind w:firstLine="720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В план проверок на 2022 год включены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51 медицинская организация и 2 страховые медицинские организации. </w:t>
      </w:r>
      <w:r>
        <w:rPr>
          <w:lang w:val="ru-RU"/>
        </w:rPr>
      </w:r>
      <w:r/>
    </w:p>
    <w:p>
      <w:pPr>
        <w:ind w:firstLine="540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З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а 2022 год проведена 61 проверка, в том числе: в медицинских организациях - 51 плановая проверка, из них: 48 комплексные проверки, 3 – тематические проверки; в страховых медицинских организациях - 2 плановые комплексные проверки, 8 внеплановые проверки. </w:t>
      </w:r>
      <w:r>
        <w:rPr>
          <w:lang w:val="ru-RU"/>
        </w:rPr>
      </w:r>
      <w:r/>
    </w:p>
    <w:p>
      <w:pPr>
        <w:ind w:firstLine="0"/>
        <w:jc w:val="both"/>
        <w:spacing w:after="0" w:afterAutospacing="0" w:line="283" w:lineRule="atLeast"/>
        <w:tabs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Остаток не восстановленных средств ОМС по состоянию на 01.01.2022 года составил 501,3 тыс. рублей. 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По итогам проверок за 2022 год в медицинских организациях выявлено нецелевое использование средств обязательного медицинского страхования на сум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му 3164,5 тыс. рублей, а именно:</w:t>
      </w:r>
      <w:r>
        <w:rPr>
          <w:lang w:val="ru-RU"/>
        </w:rPr>
      </w:r>
      <w:r/>
    </w:p>
    <w:p>
      <w:pPr>
        <w:ind w:firstLine="993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«В результате необоснованно запрошенных дополнительных сумм финансирования» - 82,6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 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или 2,6% от выявленной суммы нецелевого использования средств ОМС:</w:t>
      </w:r>
      <w:r>
        <w:rPr>
          <w:lang w:val="ru-RU"/>
        </w:rPr>
      </w:r>
      <w:r/>
    </w:p>
    <w:p>
      <w:pPr>
        <w:ind w:firstLine="993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60,8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– средства НСЗ направлены на повышение квалиф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икации работников по темам, не связанным с реализацией программы ОМС; </w:t>
      </w:r>
      <w:r>
        <w:rPr>
          <w:lang w:val="ru-RU"/>
        </w:rPr>
      </w:r>
      <w:r/>
    </w:p>
    <w:p>
      <w:pPr>
        <w:ind w:firstLine="993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21,8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b/>
          <w:sz w:val="28"/>
          <w:szCs w:val="20"/>
          <w:highlight w:val="none"/>
          <w:lang w:val="ru-RU" w:eastAsia="zh-CN"/>
        </w:rPr>
        <w:t xml:space="preserve"> –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средств НСЗ в части </w:t>
      </w:r>
      <w:r>
        <w:rPr>
          <w:rFonts w:ascii="Times New Roman" w:hAnsi="Times New Roman" w:eastAsia="Calibri" w:cs="Times New Roman"/>
          <w:bCs/>
          <w:iCs/>
          <w:sz w:val="28"/>
          <w:szCs w:val="28"/>
          <w:highlight w:val="none"/>
          <w:lang w:val="ru-RU" w:eastAsia="ru-RU"/>
        </w:rPr>
        <w:t xml:space="preserve">софинансирования</w:t>
      </w:r>
      <w:r>
        <w:rPr>
          <w:rFonts w:ascii="Times New Roman" w:hAnsi="Times New Roman" w:eastAsia="Calibri" w:cs="Times New Roman"/>
          <w:bCs/>
          <w:iCs/>
          <w:sz w:val="28"/>
          <w:szCs w:val="28"/>
          <w:highlight w:val="none"/>
          <w:lang w:val="ru-RU" w:eastAsia="ru-RU"/>
        </w:rPr>
        <w:t xml:space="preserve"> расходов на оплату труда врачей и среднего медицинского персонала направлены на оплату труда врача при отсутствии прироста в текущ</w:t>
      </w:r>
      <w:r>
        <w:rPr>
          <w:rFonts w:ascii="Times New Roman" w:hAnsi="Times New Roman" w:eastAsia="Calibri" w:cs="Times New Roman"/>
          <w:bCs/>
          <w:iCs/>
          <w:sz w:val="28"/>
          <w:szCs w:val="28"/>
          <w:highlight w:val="none"/>
          <w:lang w:val="ru-RU" w:eastAsia="ru-RU"/>
        </w:rPr>
        <w:t xml:space="preserve">ем году штатной численности (с учетом уволенных).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</w:t>
      </w:r>
      <w:r>
        <w:rPr>
          <w:lang w:val="ru-RU"/>
        </w:rPr>
      </w:r>
      <w:r/>
    </w:p>
    <w:p>
      <w:pPr>
        <w:ind w:firstLine="993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«Оплата видов медицинской помощи, не включенных в территориальную программу ОМС» - 894,2 тыс. рублей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или 28,2% от выявленной суммы нецелевого использования средств ОМС:</w:t>
      </w:r>
      <w:r>
        <w:rPr>
          <w:lang w:val="ru-RU"/>
        </w:rPr>
      </w:r>
      <w:r/>
    </w:p>
    <w:p>
      <w:pPr>
        <w:ind w:firstLine="993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- 57,1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– приобретение ан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тирабической вакцины для профилактики бешенства; </w:t>
      </w:r>
      <w:r>
        <w:rPr>
          <w:lang w:val="ru-RU"/>
        </w:rPr>
      </w:r>
      <w:r/>
    </w:p>
    <w:p>
      <w:pPr>
        <w:ind w:firstLine="993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- 15,1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–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предрейсовые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осмотры водителей; </w:t>
      </w:r>
      <w:r>
        <w:rPr>
          <w:lang w:val="ru-RU"/>
        </w:rPr>
      </w:r>
      <w:r/>
    </w:p>
    <w:p>
      <w:pPr>
        <w:ind w:firstLine="993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- 74,2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– обучение по темам не связанным с оказанием медицинской помощи в рамках территориальной программы  ОМС; </w:t>
      </w:r>
      <w:r>
        <w:rPr>
          <w:lang w:val="ru-RU"/>
        </w:rPr>
      </w:r>
      <w:r/>
    </w:p>
    <w:p>
      <w:pPr>
        <w:ind w:firstLine="993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- 31,3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– оплата ме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дицинской помощи незастрахованным по ОМС гражданам;</w:t>
      </w:r>
      <w:r>
        <w:rPr>
          <w:lang w:val="ru-RU"/>
        </w:rPr>
      </w:r>
      <w:r/>
    </w:p>
    <w:p>
      <w:pPr>
        <w:ind w:firstLine="993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- 3,9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- обеспечение в Военных комиссариатах медицинского освидетельствования граждан;</w:t>
      </w:r>
      <w:r>
        <w:rPr>
          <w:lang w:val="ru-RU"/>
        </w:rPr>
      </w:r>
      <w:r/>
    </w:p>
    <w:p>
      <w:pPr>
        <w:ind w:left="0" w:right="0" w:firstLine="992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- 591,9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-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выплата заработной платы логопеду;</w:t>
      </w:r>
      <w:r>
        <w:rPr>
          <w:lang w:val="ru-RU"/>
        </w:rPr>
      </w:r>
      <w:r/>
    </w:p>
    <w:p>
      <w:pPr>
        <w:ind w:left="0" w:right="0" w:firstLine="992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- 120,7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– выплата  надбавок за ра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боту с ВИЧ инфицированными больными. </w:t>
      </w:r>
      <w:r>
        <w:rPr>
          <w:lang w:val="ru-RU"/>
        </w:rPr>
      </w:r>
      <w:r/>
    </w:p>
    <w:p>
      <w:pPr>
        <w:ind w:firstLine="993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«Оплата расходов, не включенных в тарифы на оплату медицинской помощи в рамках территориальной программы ОМС» - 1 396,5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или  44,1% от выявленной суммы нецелевого использования средств ОМС: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- 88,0 тыс. руб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лей – арендная плата за пользование земельным участком;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- 310,2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– работы по проведению капитального ремонта зданий;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- 48,0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– оплата медицинских услуг по выявлению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коронавируса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у работников медицинской организации;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- 35,7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– оплата материальных запасов, не связанных с оказанием медицинской помощи;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- 129,9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– оплата коммунальных и эксплуатационных расходов за счет средств ОМС с превышением пропорциональной доли дохода в суммарном объеме доходов по всем источникам ф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инансирования.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-</w:t>
      </w:r>
      <w:r>
        <w:rPr>
          <w:highlight w:val="none"/>
          <w:lang w:val="ru-RU" w:eastAsia="zh-CN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25,0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– корректировка сметной документации по капитальному ремонту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;</w:t>
      </w:r>
      <w:r>
        <w:rPr>
          <w:lang w:val="ru-RU"/>
        </w:rPr>
      </w:r>
      <w:r/>
    </w:p>
    <w:p>
      <w:pPr>
        <w:ind w:left="0" w:right="0" w:firstLine="992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- 24,7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– оплата штрафа за нецелевое использование средств ОМС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;</w:t>
      </w:r>
      <w:r>
        <w:rPr>
          <w:lang w:val="ru-RU"/>
        </w:rPr>
      </w:r>
      <w:r/>
    </w:p>
    <w:p>
      <w:pPr>
        <w:ind w:left="0" w:right="0" w:firstLine="992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- 131,3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- оплата аудиторских услуг;</w:t>
      </w:r>
      <w:r>
        <w:rPr>
          <w:lang w:val="ru-RU"/>
        </w:rPr>
      </w:r>
      <w:r/>
    </w:p>
    <w:p>
      <w:pPr>
        <w:ind w:left="0" w:right="0" w:firstLine="992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- 13,7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– ремонт оборудования, не  связанного  с оказанием медицинской помощи в рамках территориальной программы  ОМС;</w:t>
      </w:r>
      <w:r>
        <w:rPr>
          <w:lang w:val="ru-RU"/>
        </w:rPr>
      </w:r>
      <w:r/>
    </w:p>
    <w:p>
      <w:pPr>
        <w:ind w:left="0" w:right="0" w:firstLine="992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- 71,5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-  приобретение краски для бордюров;</w:t>
      </w:r>
      <w:r>
        <w:rPr>
          <w:lang w:val="ru-RU"/>
        </w:rPr>
      </w:r>
      <w:r/>
    </w:p>
    <w:p>
      <w:pPr>
        <w:ind w:left="0" w:right="0" w:firstLine="992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- 90,0 тыс. рублей -  проведение обследования строительных констру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кций помещений, в которых планируется размещение тяжелого оборудования;</w:t>
      </w:r>
      <w:r>
        <w:rPr>
          <w:lang w:val="ru-RU"/>
        </w:rPr>
      </w:r>
      <w:r/>
    </w:p>
    <w:p>
      <w:pPr>
        <w:ind w:left="0" w:right="0" w:firstLine="992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- 428,5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– выплата материальной помощи работникам медицинской организации;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«Финансирование структурных подразделений (служб) медицинских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организаций, финансируемых 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з иных источников» -- 93,5 тыс. рублей, 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или 3,0% от выявленной суммы нецелевого использования средств ОМС,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в том числе: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- 2,4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 – обучение специалистов молочной кухни;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- 3,5 тыс. рублей – расходы по переоформлению лицензии отдел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ения сестринского ухода;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- 57,9 тыс. рубле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й -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расходы на приобретение медикаментов для пациентов, получающих медицинскую помощь  на платной основе;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- 29,7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 – расходы на приобретение реактивов для оказания медицинской помощи на пла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тной основе;</w:t>
      </w:r>
      <w:r>
        <w:rPr>
          <w:lang w:val="ru-RU"/>
        </w:rPr>
      </w:r>
      <w:r/>
    </w:p>
    <w:p>
      <w:pPr>
        <w:ind w:firstLine="425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«Расходование средств сверх норм, установленных соответствующими  министерствами, ведомствами – 372,4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или 11,8% от выявленной суммы нецелевого использования средств ОМС: 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- 71,8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 - доплаты компенсационного характер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а работникам, занятым с вредными условиями труда, сверх размеров, установленных картами аттестации рабочих мест;  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- 5,0 тыс. рублей – излишне выплачены суточные и оплачено проживание;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- 239,7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 - выплаты стимулирующего характера, 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 учетом начислений, произведенные с превышением установленных норм; 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- 5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5,9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– выплачена заработная плата сверх штатной должности. </w:t>
      </w:r>
      <w:r>
        <w:rPr>
          <w:lang w:val="ru-RU"/>
        </w:rPr>
      </w:r>
      <w:r/>
    </w:p>
    <w:p>
      <w:pPr>
        <w:ind w:firstLine="425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«Расходование  сре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дств пр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и отсутствии подтверждающих документов» -  278,5 тыс. рублей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или 8,8 % от выявл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енной   суммы нецелевого использования средств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ОМС:</w:t>
      </w:r>
      <w:r>
        <w:rPr>
          <w:lang w:val="ru-RU"/>
        </w:rPr>
      </w:r>
      <w:r/>
    </w:p>
    <w:p>
      <w:pPr>
        <w:ind w:left="0" w:right="0" w:firstLine="992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- 278,5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 - выплата заработной платы, с учетом начислений, при отсутстви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и  сертификата специалиста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</w:t>
      </w:r>
      <w:r>
        <w:rPr>
          <w:lang w:val="ru-RU"/>
        </w:rPr>
      </w:r>
      <w:r/>
    </w:p>
    <w:p>
      <w:pPr>
        <w:ind w:firstLine="425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«Оплата собственных обязательств, не связанных  с деятельностью  по обязательному мед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ицинскому страхованию» 46,8 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или 1,5% от выявленной суммы нецелевого использования средств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ОМС: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- 46,8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ты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 – расходы средств ОМС до вхождения  в систему ОМС.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0"/>
          <w:highlight w:val="none"/>
          <w:lang w:val="ru-RU" w:eastAsia="zh-CN"/>
        </w:rPr>
        <w:t xml:space="preserve">Возвращено в бюджет ТФОМС Липецкой области в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соответствии с требованиями Федерального закона от 29.11.2010 № 326-ФЗ «Об обязательном медицинском страховании в Российской Федерации» - 2 209,8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</w:t>
      </w:r>
      <w:r>
        <w:rPr>
          <w:lang w:val="ru-RU"/>
        </w:rPr>
      </w:r>
      <w:r/>
    </w:p>
    <w:p>
      <w:pPr>
        <w:ind w:firstLine="284"/>
        <w:jc w:val="both"/>
        <w:spacing w:after="0" w:afterAutospacing="0" w:line="283" w:lineRule="atLeast"/>
        <w:tabs>
          <w:tab w:val="left" w:pos="709" w:leader="none"/>
        </w:tabs>
        <w:rPr>
          <w:rFonts w:ascii="Times New Roman" w:hAnsi="Times New Roman" w:eastAsia="Times New Roman" w:cs="Times New Roman"/>
          <w:color w:val="ff0000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ab/>
        <w:t xml:space="preserve">Остаток невосстановленных средств ОМС по состоянию на 01.01.2023 года  составляет  1 456,0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highlight w:val="non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ублей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highlight w:val="none"/>
          <w:lang w:val="ru-RU" w:eastAsia="ru-RU"/>
        </w:rPr>
        <w:t xml:space="preserve"> </w:t>
      </w:r>
      <w:r>
        <w:rPr>
          <w:lang w:val="ru-RU"/>
        </w:rPr>
      </w:r>
      <w:r/>
    </w:p>
    <w:p>
      <w:pPr>
        <w:ind w:left="0" w:right="0" w:firstLine="709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Сумма предъявленных штрафов, пеней по результатам проверок деятельности страховых медицинских организаций и медицинских организаций в сфере обязательного медицинского страхования за  2022 год составила 5 022,1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, в том числе по: 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- ме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дицинским  организациям – 4 731,9 тыс. рублей; 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- страховым  медицинским организациям – 290,2 тыс. рублей, в том числе: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- непредставление (несвоевременное представление) территориальному фонду отчетности, определенной Федеральным фондом в соответствии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с пунктом 5 части 8 статьи 33 Федерального закона  для страховой медицинской организации предусмотрен   штраф в размере 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117,7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: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-  нарушение порядка выдачи полисов – 21,0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;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- внесение в 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региональный сегмент единого регистра з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астрахованных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записей, содержащих недостоверные сведения – 42,0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;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- в наруш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ение п.18 п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риложения № 3 «Перечень санкций за нарушение договорных обязательств по договору» к договору о финансовом обеспечении обязательного медицинского страховани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я, утвержденному приказом Министерства здравоохранения и социального развития Российской Федерации от 09.09.2011 № 1030н за н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есвоевременную оплату (неоплата) медицинским организациям медицинской помощи, оказанной застрахованным лицам, с учетом результатов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контроля объемов, сроков, качества и условий предоставления медицинской помощи по обязательному медицинскому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страхованию пеня составляет – 52,8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в нарушение п.7 п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риложения № 3 «Перечень санкций за нарушение договорных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 обязательств по догово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ру» к договору о финансовом обеспечении обязательного медицинского страхования, утвержденному приказом Министерства здравоохранения и социального развития Российской Федерации от 09.09.2011 № 1030н з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а представление территориальному фонду недостоверной отче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тности штраф 56,7 тыс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</w:t>
      </w:r>
      <w:r>
        <w:rPr>
          <w:lang w:val="ru-RU"/>
        </w:rPr>
      </w:r>
      <w:r/>
    </w:p>
    <w:p>
      <w:pPr>
        <w:ind w:left="0" w:right="0" w:firstLine="850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Остаток задолженности по штрафам по результатам проверок по состоянию  на 01.01.2022 года  составлял 7,1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 </w:t>
      </w:r>
      <w:r>
        <w:rPr>
          <w:lang w:val="ru-RU"/>
        </w:rPr>
      </w:r>
      <w:r/>
    </w:p>
    <w:p>
      <w:pPr>
        <w:ind w:left="-142" w:right="0" w:firstLine="992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Получено в отчетном периоде  штрафов на сумму 3 801,4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</w:t>
      </w:r>
      <w:r>
        <w:rPr>
          <w:lang w:val="ru-RU"/>
        </w:rPr>
      </w:r>
      <w:r/>
    </w:p>
    <w:p>
      <w:pPr>
        <w:ind w:left="0" w:right="0" w:firstLine="850"/>
        <w:jc w:val="both"/>
        <w:spacing w:after="0" w:afterAutospacing="0" w:line="283" w:lineRule="atLeast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Остаток задолженности по штрафам по результатам проверок по состоянию на 01.01.2023 года составил 1 227,8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 xml:space="preserve">.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Отсутствие внутреннего контроля объемов, сроков, качества и условий предоставления медицинской помощи влияет на образование финансовых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потерь в медицинских организациях.</w:t>
      </w:r>
      <w:r>
        <w:rPr>
          <w:lang w:val="ru-RU"/>
        </w:rPr>
      </w:r>
      <w:r/>
    </w:p>
    <w:p>
      <w:pPr>
        <w:contextualSpacing/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По результатам проверок медицинских организаций финансовые потери в результате частичной или полной неоплаты медицинской помощи  составили 59 768,2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тыс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.</w:t>
      </w:r>
      <w:r>
        <w:rPr>
          <w:lang w:val="ru-RU"/>
        </w:rPr>
      </w:r>
      <w:r/>
    </w:p>
    <w:p>
      <w:pPr>
        <w:contextualSpacing/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В ходе контрольных мероприятий в 2022 году были установлены нарушения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п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риведшие к неэффективному использованию средств ОМС  на сумму 19 257,0 тыс. рублей: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- в виде оплаты штрафных санкций по предписаниям страховых медицинских организаций по результатам м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едико-экономического контроля, медико-экономической экспертизы, экспертизы качества медицинской помощи - 17 946,1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. 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ублей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; 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- лекарственные средства с истекшим сроком годности, находящиеся в карантинной зоне или переданные на уничтожение – 45,7 тыс. рубл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ей;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екарственные средства с ограниченным сроком годности на сумму – 141,2 тыс. рублей;</w:t>
      </w:r>
      <w:r>
        <w:rPr>
          <w:lang w:val="ru-RU"/>
        </w:rPr>
      </w:r>
      <w:r/>
    </w:p>
    <w:p>
      <w:pPr>
        <w:ind w:firstLine="992"/>
        <w:jc w:val="both"/>
        <w:spacing w:after="0" w:afterAutospacing="0" w:line="283" w:lineRule="atLeast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- расходы по решениям суда оплаты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государственных пошлин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, пеней штрафов – 1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 124,0 тыс. рублей</w:t>
      </w:r>
      <w:r>
        <w:rPr>
          <w:lang w:val="ru-RU"/>
        </w:rPr>
      </w:r>
      <w:r/>
    </w:p>
    <w:p>
      <w:pPr>
        <w:ind w:firstLine="708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С целью исключения случаев неэффективного использования  денежных с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редств ОМС административно-управленческому составу медицинских организаций необходимо:</w:t>
      </w:r>
      <w:r>
        <w:rPr>
          <w:lang w:val="ru-RU"/>
        </w:rPr>
      </w:r>
      <w:r/>
    </w:p>
    <w:p>
      <w:pPr>
        <w:ind w:left="0" w:right="0" w:firstLine="708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  <w:lang w:val="ru-RU"/>
        </w:rPr>
        <w:t xml:space="preserve">  -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в целях недопущения штрафных санкций по предписаниям страховых медицинских организаций усилить внутренний контроль объемов, сроков, качества и условий предоставления м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едицинской помощи;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- контролировать качество формирования заявок на медикаменты, химические реактивы и расходные материалы;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- осуществлять в постоянном режиме контроль учета медикаментов, химических реактивов и расходных материалов и использовать эти данны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е для формирования рациональных запасов медикаментов, а также своевременно принимать меры по реализации лекарственных средств с истекающим сроком годности.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Выявленные при проверках нарушения приводят к временному отвлечению средств обязательного медицинско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го страхования, снижению финансовой устойчивости и образованию кредиторской задолженности в медицинских организациях. 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Исключение в медицинских организациях фактов нецелевого и неэффективного использования средств ОМС является дополнительным источником для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своевременных расчетов с поставщиками за материальные ценности, и как следствие - снижению кредиторской задолженности.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shd w:val="clear" w:color="auto" w:fill="ffffff"/>
        <w:rPr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В целях недопущения неэффективного и нецелевого использования средств обязательного медицинского страхования по итогам проверок медицинс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ким организациям рекомендовано осуществлять внутренний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контроль за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zh-CN"/>
        </w:rPr>
        <w:t xml:space="preserve"> соблюдением финансово-хозяйственной деятельности в соответствии с требованиями, установленными законодательством Российской  Федерации.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Просроченная кредиторская задолженность государствен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ных медицинских организаций перед поставщиками за поставленные материальные ценности и оказанные услуги на 01.01.2022 года составила 237,4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млн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. р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ублей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в конце 2022 года просроченная кредиторская задолженность снизилась и на 01.01.2023 года составила 33,7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млн. рублей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.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w:t xml:space="preserve">В рамках контр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w:t xml:space="preserve">оля объемов, сроков, качества и условий оказания медицинской помощи, оказанной медицинскими организациями Липецкой области, специалистами СМО в отчетном периоде проводились экспертные мероприятия в соответствии с действующими нормативными правовыми актами.</w:t>
      </w:r>
      <w:r>
        <w:rPr>
          <w:lang w:val="ru-RU"/>
        </w:rPr>
      </w:r>
      <w:r/>
    </w:p>
    <w:p>
      <w:pPr>
        <w:ind w:firstLine="709"/>
        <w:jc w:val="both"/>
        <w:spacing w:after="0" w:afterAutospacing="0" w:line="283" w:lineRule="atLeast"/>
        <w:widowControl w:val="off"/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Приказом Минздрава России от 19.03.2021 № 231н утвержден 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обеспечения.</w:t>
      </w:r>
      <w:r>
        <w:rPr>
          <w:lang w:val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За период январь-декабрь  2022 года подвергнуто экспертизам 264,4 тыс. страховых случаев медицинской помощи, оказанных гражданам, застрахованным на территории Липецкой области, в том числе в ходе плановых проверок 55,1 тыс.</w:t>
      </w:r>
      <w:r>
        <w:rPr>
          <w:lang w:val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При проведении медико-экономических экспертиз (МЭЭ) за январь-декабрь 2022 года было проанализировано 231,0 тыс. случаев оказания медицинской помощи, в том числе при целевых проверках 188,5 тыс. случаев. </w:t>
      </w:r>
      <w:r>
        <w:rPr>
          <w:lang w:val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В результате МЭЭ были установлены 26,1 тыс. нарушен</w:t>
      </w:r>
      <w:r>
        <w:rPr>
          <w:sz w:val="28"/>
          <w:szCs w:val="28"/>
          <w:highlight w:val="none"/>
          <w:lang w:val="ru-RU"/>
        </w:rPr>
        <w:t xml:space="preserve">ий (11%), отмечается уменьшение количества дефектов в сравнении с 2021 годом, когда  данный показатель составлял 15%. </w:t>
      </w:r>
      <w:r>
        <w:rPr>
          <w:lang w:val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Количество нарушений по причине «непредставление первичной медицинской документации, подтверждающей факт оказания ЗЛ </w:t>
      </w:r>
      <w:r>
        <w:rPr>
          <w:sz w:val="28"/>
          <w:szCs w:val="28"/>
          <w:highlight w:val="none"/>
          <w:lang w:val="ru-RU"/>
        </w:rPr>
        <w:t xml:space="preserve">медицинской помощи», составило – 18 729 или 72% от общего количества нарушений.</w:t>
      </w:r>
      <w:r>
        <w:rPr>
          <w:lang w:val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Количество нарушений по причине «несоответствие данных первичной медицинской документации данным реестра счетов»,  составило – 3 686 или 14% от общего количества нарушений.</w:t>
      </w:r>
      <w:r>
        <w:rPr>
          <w:lang w:val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В ход</w:t>
      </w:r>
      <w:r>
        <w:rPr>
          <w:sz w:val="28"/>
          <w:szCs w:val="28"/>
          <w:highlight w:val="none"/>
          <w:lang w:val="ru-RU"/>
        </w:rPr>
        <w:t xml:space="preserve">е экспертиз  качества медицинской помощи (ЭКМП)  было проанализировано  33,3 тыс. случаев оказания медицинской помощи, в том числе при целевых проверках – 20,8 тыс. случаев.</w:t>
      </w:r>
      <w:r>
        <w:rPr>
          <w:lang w:val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В результате ЭКМП были установлены 7,6 тыс. нарушений (23%), данный показатель за </w:t>
      </w:r>
      <w:r>
        <w:rPr>
          <w:sz w:val="28"/>
          <w:szCs w:val="28"/>
          <w:highlight w:val="none"/>
          <w:lang w:val="ru-RU"/>
        </w:rPr>
        <w:t xml:space="preserve">2021 год также составлял 23%.</w:t>
      </w:r>
      <w:r>
        <w:rPr>
          <w:lang w:val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color w:val="ff0000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По итогам МЭЭ и ЭКМП к медицинским организациям применены финансовые санкции в размере 92,2 млн. рублей (2021 год – 106,9 млн. рублей).</w:t>
      </w:r>
      <w:r>
        <w:rPr>
          <w:lang w:val="ru-RU"/>
        </w:rPr>
      </w:r>
      <w:r/>
    </w:p>
    <w:p>
      <w:pPr>
        <w:ind w:firstLine="570"/>
        <w:jc w:val="both"/>
        <w:spacing w:after="0" w:afterAutospacing="0" w:line="283" w:lineRule="atLeast"/>
        <w:widowControl w:val="off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За 2022 год проведено 165 422 контрольно-экспертных мероприятия по сл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учаям оказания медицинской помощи пациентам с подозрением на злокачественные новообразования (ЗНО) и/или с подтвержденным диагнозом ЗНО, в том числе 141 515 медико-экономического контроля, 22 731 медико-экономических экспертиз, 1176 экспертиз качества меди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цинской помощи. По результатам контрольно-экспертных мероприятий выявлено 1 590 дефектов, в том числе 676 по страховым случаям с применением химиотерапии.</w:t>
      </w:r>
      <w:r>
        <w:rPr>
          <w:lang w:val="ru-RU"/>
        </w:rPr>
      </w:r>
      <w:r/>
    </w:p>
    <w:p>
      <w:pPr>
        <w:ind w:firstLine="570"/>
        <w:jc w:val="both"/>
        <w:spacing w:after="0" w:afterAutospacing="0" w:line="283" w:lineRule="atLeast"/>
        <w:widowControl w:val="off"/>
        <w:rPr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w:t xml:space="preserve">За период  январь-декабрь 2022 года специалистами ТФОМС Липецкой области и экспертами качества медицин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w:t xml:space="preserve">ской помощи, входящими в реестр экспертов качества медицинской помощи, привлекаемыми на договорной основе, проводились повторные медико-экономические экспертизы и  экспертизы качества медицинской помощи.</w:t>
      </w:r>
      <w:r>
        <w:rPr>
          <w:lang w:val="ru-RU"/>
        </w:rPr>
      </w:r>
      <w:r/>
    </w:p>
    <w:p>
      <w:pPr>
        <w:ind w:firstLine="570"/>
        <w:jc w:val="both"/>
        <w:spacing w:after="0" w:afterAutospacing="0" w:line="283" w:lineRule="atLeast"/>
        <w:rPr>
          <w:highlight w:val="none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Количество страховых случаев, подвергшихся повторной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 М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ЭЭ,  составило 13 240, количество страховых случаев, подвергшихся повторной ЭКМП, составило 1158, что соответствует требованиям приказа ФФОМС от 19.03.2021 № 231н «Об утверждении Порядка проведения контроля объемов, сроков, качества и условий предоставлени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ru-RU"/>
        </w:rPr>
        <w:t xml:space="preserve">я медицинской помощи по обязательному медицинскому страхованию, а также ее финансового обеспечения».</w:t>
      </w:r>
      <w:r>
        <w:rPr>
          <w:lang w:val="ru-RU"/>
        </w:rPr>
      </w:r>
      <w:r/>
    </w:p>
    <w:p>
      <w:pPr>
        <w:ind w:firstLine="360"/>
        <w:jc w:val="both"/>
        <w:spacing w:after="0" w:afterAutospacing="0" w:line="283" w:lineRule="atLeast"/>
        <w:rPr>
          <w:rFonts w:ascii="Times New Roman" w:hAnsi="Times New Roman" w:eastAsia="Calibri" w:cs="Times New Roman"/>
          <w:highlight w:val="none"/>
          <w:lang w:val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highlight w:val="none"/>
          <w:lang w:val="ru-RU" w:eastAsia="ru-RU"/>
        </w:rPr>
        <w:t xml:space="preserve">Установлены нарушения  в  160 случаях (1,1%),  допущенные медицинскими организациями, но   не выявленные  СМО при первичном проведении экспертиз. По итога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none"/>
          <w:lang w:val="ru-RU" w:eastAsia="ru-RU"/>
        </w:rPr>
        <w:t xml:space="preserve">м  повторных экспертиз к СМО   применены   штрафные  санкций в размере 905 504,69 рублей - 10% от суммы, необоснованно оплаченной медицинским организациям.</w:t>
      </w:r>
      <w:r>
        <w:rPr>
          <w:lang w:val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За январь-декабрь  2022 года ТФОМС и СМО было рассмотрено 99 481 </w:t>
      </w:r>
      <w:r>
        <w:rPr>
          <w:sz w:val="28"/>
          <w:szCs w:val="28"/>
          <w:highlight w:val="none"/>
          <w:lang w:val="ru-RU"/>
        </w:rPr>
        <w:t xml:space="preserve">обращений. В сравнении с аналоги</w:t>
      </w:r>
      <w:r>
        <w:rPr>
          <w:sz w:val="28"/>
          <w:szCs w:val="28"/>
          <w:highlight w:val="none"/>
          <w:lang w:val="ru-RU"/>
        </w:rPr>
        <w:t xml:space="preserve">чным периодом  2021 года количество обращений увеличилось на 2,2 тыс.</w:t>
      </w:r>
      <w:r>
        <w:rPr>
          <w:lang w:val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Всего обращений за разъяснениями 99 300, наибольшее количество по вопросам выбора и/или замены СМО, МО, врача и обеспечение выдачи полисов 21 376 или 87% от общего количества.</w:t>
      </w:r>
      <w:r>
        <w:rPr>
          <w:lang w:val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За период ян</w:t>
      </w:r>
      <w:r>
        <w:rPr>
          <w:sz w:val="28"/>
          <w:szCs w:val="28"/>
          <w:highlight w:val="none"/>
          <w:lang w:val="ru-RU"/>
        </w:rPr>
        <w:t xml:space="preserve">варь-декабрь 2022 года поступило  176 жалоб  или 0,2% от общего числа обращений; в 2021 году данный показатель 207 (0,2%).</w:t>
      </w:r>
      <w:r>
        <w:rPr>
          <w:lang w:val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Все жалобы рассмотрены в досудебном порядке, обоснованными признано 103 (59%), за аналогичный период  2021 года  143 жалобы (69%) был</w:t>
      </w:r>
      <w:r>
        <w:rPr>
          <w:sz w:val="28"/>
          <w:szCs w:val="28"/>
          <w:highlight w:val="none"/>
          <w:lang w:val="ru-RU"/>
        </w:rPr>
        <w:t xml:space="preserve">и признаны обоснованными.</w:t>
      </w:r>
      <w:r>
        <w:rPr>
          <w:lang w:val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Структура обоснованных жалоб по причинам сложилась следующим образом:</w:t>
      </w:r>
      <w:r>
        <w:rPr>
          <w:lang w:val="ru-RU"/>
        </w:rPr>
      </w:r>
      <w:r/>
    </w:p>
    <w:p>
      <w:pPr>
        <w:pStyle w:val="851"/>
        <w:numPr>
          <w:ilvl w:val="0"/>
          <w:numId w:val="7"/>
        </w:numPr>
        <w:spacing w:before="0" w:after="0" w:afterAutospacing="0" w:line="283" w:lineRule="atLeast"/>
        <w:shd w:val="clear" w:color="auto" w:fill="auto"/>
        <w:tabs>
          <w:tab w:val="left" w:pos="195" w:leader="none"/>
        </w:tabs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33 жалобы (32%) на организацию работы медицинских организаций;</w:t>
      </w:r>
      <w:r>
        <w:rPr>
          <w:lang w:val="ru-RU"/>
        </w:rPr>
      </w:r>
      <w:r/>
    </w:p>
    <w:p>
      <w:pPr>
        <w:pStyle w:val="851"/>
        <w:numPr>
          <w:ilvl w:val="0"/>
          <w:numId w:val="7"/>
        </w:numPr>
        <w:spacing w:before="0" w:after="0" w:afterAutospacing="0" w:line="283" w:lineRule="atLeast"/>
        <w:shd w:val="clear" w:color="auto" w:fill="auto"/>
        <w:tabs>
          <w:tab w:val="left" w:pos="195" w:leader="none"/>
        </w:tabs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61 жалоб (59%) на оказание медицинской помощи;</w:t>
      </w:r>
      <w:r>
        <w:rPr>
          <w:lang w:val="ru-RU"/>
        </w:rPr>
      </w:r>
      <w:r/>
    </w:p>
    <w:p>
      <w:pPr>
        <w:pStyle w:val="851"/>
        <w:numPr>
          <w:ilvl w:val="0"/>
          <w:numId w:val="7"/>
        </w:numPr>
        <w:spacing w:before="0" w:after="0" w:afterAutospacing="0" w:line="283" w:lineRule="atLeast"/>
        <w:shd w:val="clear" w:color="auto" w:fill="auto"/>
        <w:tabs>
          <w:tab w:val="left" w:pos="195" w:leader="none"/>
        </w:tabs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1 жалоба (1</w:t>
      </w:r>
      <w:r>
        <w:rPr>
          <w:sz w:val="28"/>
          <w:szCs w:val="28"/>
          <w:highlight w:val="none"/>
          <w:lang w:val="ru-RU"/>
        </w:rPr>
        <w:t xml:space="preserve">%) на нарушение прав на выбор медицинской организации;</w:t>
      </w:r>
      <w:r>
        <w:rPr>
          <w:lang w:val="ru-RU"/>
        </w:rPr>
      </w:r>
      <w:r/>
    </w:p>
    <w:p>
      <w:pPr>
        <w:pStyle w:val="851"/>
        <w:numPr>
          <w:ilvl w:val="0"/>
          <w:numId w:val="7"/>
        </w:numPr>
        <w:spacing w:before="0" w:after="0" w:afterAutospacing="0" w:line="283" w:lineRule="atLeast"/>
        <w:shd w:val="clear" w:color="auto" w:fill="auto"/>
        <w:tabs>
          <w:tab w:val="left" w:pos="195" w:leader="none"/>
        </w:tabs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3 жалоба (3%) на взимание денежных средств за оказанную медицинскую помощь;</w:t>
      </w:r>
      <w:r>
        <w:rPr>
          <w:lang w:val="ru-RU"/>
        </w:rPr>
      </w:r>
      <w:r/>
    </w:p>
    <w:p>
      <w:pPr>
        <w:pStyle w:val="851"/>
        <w:numPr>
          <w:ilvl w:val="0"/>
          <w:numId w:val="7"/>
        </w:numPr>
        <w:spacing w:before="0" w:after="0" w:afterAutospacing="0" w:line="283" w:lineRule="atLeast"/>
        <w:shd w:val="clear" w:color="auto" w:fill="auto"/>
        <w:tabs>
          <w:tab w:val="left" w:pos="195" w:leader="none"/>
        </w:tabs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1 жалоба (1%) – на отказ в оказании медицинской помощи по программе ОМС;</w:t>
      </w:r>
      <w:r>
        <w:rPr>
          <w:lang w:val="ru-RU"/>
        </w:rPr>
      </w:r>
      <w:r/>
    </w:p>
    <w:p>
      <w:pPr>
        <w:pStyle w:val="851"/>
        <w:numPr>
          <w:ilvl w:val="0"/>
          <w:numId w:val="7"/>
        </w:numPr>
        <w:spacing w:before="0" w:after="0" w:afterAutospacing="0" w:line="283" w:lineRule="atLeast"/>
        <w:shd w:val="clear" w:color="auto" w:fill="auto"/>
        <w:tabs>
          <w:tab w:val="left" w:pos="195" w:leader="none"/>
        </w:tabs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1 жалоба (1%) – на необеспечение выдачи полиса ОМС;</w:t>
      </w:r>
      <w:r>
        <w:rPr>
          <w:lang w:val="ru-RU"/>
        </w:rPr>
      </w:r>
      <w:r/>
    </w:p>
    <w:p>
      <w:pPr>
        <w:pStyle w:val="851"/>
        <w:numPr>
          <w:ilvl w:val="0"/>
          <w:numId w:val="7"/>
        </w:numPr>
        <w:spacing w:before="0" w:after="0" w:afterAutospacing="0" w:line="283" w:lineRule="atLeast"/>
        <w:shd w:val="clear" w:color="auto" w:fill="auto"/>
        <w:tabs>
          <w:tab w:val="left" w:pos="195" w:leader="none"/>
        </w:tabs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3 жалобы (3%) - другие причины обоснованных жалоб.</w:t>
      </w:r>
      <w:r>
        <w:rPr>
          <w:lang w:val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ab/>
        <w:t xml:space="preserve">С августа 2022 года страховыми медицинскими организациями в соответствии с требованиями приказа Минздрава России от 19.07.2022 № 495 «Об утверждении методики расчета дополнительного показателя «Оценка общ</w:t>
      </w:r>
      <w:r>
        <w:rPr>
          <w:sz w:val="28"/>
          <w:szCs w:val="28"/>
          <w:highlight w:val="none"/>
          <w:lang w:val="ru-RU"/>
        </w:rPr>
        <w:t xml:space="preserve">ественного мнения по удовлетворенности населения медицинской помощью, %» федерального проекта «Модернизация первичного звена Российской Федерации» ежемесячно проводится опрос населения по удовлетворенности населения медицинской помощью. Процент удовлетворе</w:t>
      </w:r>
      <w:r>
        <w:rPr>
          <w:sz w:val="28"/>
          <w:szCs w:val="28"/>
          <w:highlight w:val="none"/>
          <w:lang w:val="ru-RU"/>
        </w:rPr>
        <w:t xml:space="preserve">нности по каждому месяцу выше планового показателя, за декабрь 2022 он составил 45,7%.</w:t>
      </w:r>
      <w:r>
        <w:rPr>
          <w:lang w:val="ru-RU"/>
        </w:rPr>
      </w:r>
      <w:r/>
    </w:p>
    <w:p>
      <w:pPr>
        <w:jc w:val="both"/>
        <w:spacing w:after="120" w:line="283" w:lineRule="atLeast"/>
        <w:widowControl w:val="o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ab/>
      </w:r>
      <w:r>
        <w:rPr>
          <w:sz w:val="28"/>
          <w:szCs w:val="28"/>
          <w:highlight w:val="none"/>
          <w:lang w:val="ru-RU" w:eastAsia="ru-RU"/>
        </w:rPr>
        <w:t xml:space="preserve">В соответствии c Методическими</w:t>
      </w:r>
      <w:r>
        <w:rPr>
          <w:sz w:val="28"/>
          <w:szCs w:val="28"/>
          <w:highlight w:val="none"/>
          <w:lang w:val="ru-RU" w:eastAsia="ru-RU"/>
        </w:rPr>
        <w:t xml:space="preserve"> рекомендаци</w:t>
      </w:r>
      <w:r>
        <w:rPr>
          <w:sz w:val="28"/>
          <w:szCs w:val="28"/>
          <w:highlight w:val="none"/>
          <w:lang w:val="ru-RU" w:eastAsia="ru-RU"/>
        </w:rPr>
        <w:t xml:space="preserve">ями по способам оплаты медицинской помощи за счет средств обязательного медицинского страхования</w:t>
      </w:r>
      <w:r>
        <w:rPr>
          <w:sz w:val="28"/>
          <w:szCs w:val="28"/>
          <w:highlight w:val="none"/>
          <w:lang w:val="ru-RU" w:eastAsia="ru-RU"/>
        </w:rPr>
        <w:t xml:space="preserve"> на 2022 год,   Т</w:t>
      </w:r>
      <w:r>
        <w:rPr>
          <w:sz w:val="28"/>
          <w:szCs w:val="28"/>
          <w:highlight w:val="none"/>
          <w:lang w:val="ru-RU" w:eastAsia="ru-RU"/>
        </w:rPr>
        <w:t xml:space="preserve">арифн</w:t>
      </w:r>
      <w:r>
        <w:rPr>
          <w:sz w:val="28"/>
          <w:szCs w:val="28"/>
          <w:highlight w:val="none"/>
          <w:lang w:val="ru-RU" w:eastAsia="ru-RU"/>
        </w:rPr>
        <w:t xml:space="preserve">ым</w:t>
      </w:r>
      <w:r>
        <w:rPr>
          <w:sz w:val="28"/>
          <w:szCs w:val="28"/>
          <w:highlight w:val="none"/>
          <w:lang w:val="ru-RU" w:eastAsia="ru-RU"/>
        </w:rPr>
        <w:t xml:space="preserve"> соглашение</w:t>
      </w:r>
      <w:r>
        <w:rPr>
          <w:sz w:val="28"/>
          <w:szCs w:val="28"/>
          <w:highlight w:val="none"/>
          <w:lang w:val="ru-RU" w:eastAsia="ru-RU"/>
        </w:rPr>
        <w:t xml:space="preserve">м</w:t>
      </w:r>
      <w:r>
        <w:rPr>
          <w:sz w:val="28"/>
          <w:szCs w:val="28"/>
          <w:highlight w:val="none"/>
          <w:lang w:val="ru-RU" w:eastAsia="ru-RU"/>
        </w:rPr>
        <w:t xml:space="preserve"> на оплату медицинской помощи по обязательному медицинскому страхованию на территории </w:t>
      </w:r>
      <w:r>
        <w:rPr>
          <w:sz w:val="28"/>
          <w:szCs w:val="28"/>
          <w:highlight w:val="none"/>
          <w:lang w:val="ru-RU" w:eastAsia="ru-RU"/>
        </w:rPr>
        <w:t xml:space="preserve">Л</w:t>
      </w:r>
      <w:r>
        <w:rPr>
          <w:sz w:val="28"/>
          <w:szCs w:val="28"/>
          <w:highlight w:val="none"/>
          <w:lang w:val="ru-RU" w:eastAsia="ru-RU"/>
        </w:rPr>
        <w:t xml:space="preserve">ипецкой области на 2022 год</w:t>
      </w:r>
      <w:r>
        <w:rPr>
          <w:sz w:val="28"/>
          <w:szCs w:val="28"/>
          <w:highlight w:val="none"/>
          <w:lang w:val="ru-RU" w:eastAsia="ru-RU"/>
        </w:rPr>
        <w:t xml:space="preserve"> предусмотренны выплаты медицинским организациям, </w:t>
      </w:r>
      <w:r>
        <w:rPr>
          <w:sz w:val="28"/>
          <w:szCs w:val="28"/>
          <w:highlight w:val="none"/>
          <w:lang w:val="ru-RU" w:eastAsia="ru-RU"/>
        </w:rPr>
        <w:t xml:space="preserve">имеющим </w:t>
      </w:r>
      <w:r>
        <w:rPr>
          <w:sz w:val="28"/>
          <w:szCs w:val="28"/>
          <w:highlight w:val="none"/>
          <w:lang w:val="ru-RU" w:eastAsia="ru-RU"/>
        </w:rPr>
        <w:t xml:space="preserve">прикрепившихся лиц</w:t>
      </w:r>
      <w:r>
        <w:rPr>
          <w:sz w:val="28"/>
          <w:szCs w:val="28"/>
          <w:highlight w:val="none"/>
          <w:lang w:val="ru-RU" w:eastAsia="ru-RU"/>
        </w:rPr>
        <w:t xml:space="preserve"> за </w:t>
      </w:r>
      <w:r>
        <w:rPr>
          <w:sz w:val="28"/>
          <w:szCs w:val="28"/>
          <w:highlight w:val="none"/>
          <w:lang w:val="ru-RU" w:eastAsia="ru-RU"/>
        </w:rPr>
        <w:t xml:space="preserve">выполнение показателей результативности деятельности</w:t>
      </w:r>
      <w:r>
        <w:rPr>
          <w:sz w:val="28"/>
          <w:szCs w:val="28"/>
          <w:highlight w:val="none"/>
          <w:lang w:val="ru-RU" w:eastAsia="ru-RU"/>
        </w:rPr>
        <w:t xml:space="preserve"> медицинских организаций. </w:t>
      </w:r>
      <w:r>
        <w:rPr>
          <w:sz w:val="28"/>
          <w:szCs w:val="28"/>
          <w:highlight w:val="none"/>
          <w:lang w:val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highlight w:val="none"/>
          <w:lang w:val="ru-RU"/>
          <w14:ligatures w14:val="none"/>
        </w:rPr>
      </w:pPr>
      <w:r>
        <w:rPr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Всего установлено 28 показателей, распределенных на 3 группы (отра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жающие эффективность оказания медицинской помощи взрослому населению, детскому населению, акушерско-гинекологической медицинской помощи женщинам). За выполнение каждого из показателей медицинской организации начисляется определенной количество баллов</w:t>
      </w:r>
      <w:r>
        <w:rPr>
          <w:sz w:val="28"/>
          <w:szCs w:val="28"/>
          <w:highlight w:val="none"/>
          <w:lang w:val="ru-RU" w:eastAsia="ru-RU"/>
        </w:rPr>
        <w:t xml:space="preserve"> (от 0,5 до 3). </w:t>
      </w:r>
      <w:r>
        <w:rPr>
          <w:sz w:val="28"/>
          <w:szCs w:val="28"/>
          <w:highlight w:val="none"/>
          <w:lang w:val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sz w:val="28"/>
          <w:szCs w:val="28"/>
          <w:highlight w:val="none"/>
          <w:lang w:val="ru-RU"/>
          <w14:ligatures w14:val="none"/>
        </w:rPr>
      </w:pPr>
      <w:r>
        <w:rPr>
          <w:sz w:val="28"/>
          <w:szCs w:val="28"/>
          <w:highlight w:val="none"/>
          <w:lang w:val="ru-RU" w:eastAsia="ru-RU"/>
        </w:rPr>
        <w:t xml:space="preserve">С учетом фактического выполнения показателей, медицинские организации распределяются на три группы: </w:t>
      </w:r>
      <w:r>
        <w:rPr>
          <w:sz w:val="28"/>
          <w:szCs w:val="28"/>
          <w:highlight w:val="none"/>
          <w:lang w:val="ru-RU" w:eastAsia="ru-RU"/>
        </w:rPr>
        <w:t xml:space="preserve">I</w:t>
      </w:r>
      <w:r>
        <w:rPr>
          <w:sz w:val="28"/>
          <w:szCs w:val="28"/>
          <w:highlight w:val="none"/>
          <w:lang w:val="ru-RU" w:eastAsia="ru-RU"/>
        </w:rPr>
        <w:t xml:space="preserve"> </w:t>
      </w:r>
      <w:r>
        <w:rPr>
          <w:sz w:val="28"/>
          <w:szCs w:val="28"/>
          <w:highlight w:val="none"/>
          <w:lang w:val="ru-RU" w:eastAsia="ru-RU"/>
        </w:rPr>
        <w:t xml:space="preserve">- выполнившие до 40 % показателей, </w:t>
      </w:r>
      <w:r>
        <w:rPr>
          <w:sz w:val="28"/>
          <w:szCs w:val="28"/>
          <w:highlight w:val="none"/>
          <w:lang w:val="ru-RU" w:eastAsia="ru-RU"/>
        </w:rPr>
        <w:t xml:space="preserve">II</w:t>
      </w:r>
      <w:r>
        <w:rPr>
          <w:sz w:val="28"/>
          <w:szCs w:val="28"/>
          <w:highlight w:val="none"/>
          <w:lang w:val="ru-RU" w:eastAsia="ru-RU"/>
        </w:rPr>
        <w:t xml:space="preserve"> - от 40 до 60% и </w:t>
      </w:r>
      <w:r>
        <w:rPr>
          <w:sz w:val="28"/>
          <w:szCs w:val="28"/>
          <w:highlight w:val="none"/>
          <w:lang w:val="ru-RU" w:eastAsia="ru-RU"/>
        </w:rPr>
        <w:t xml:space="preserve">III</w:t>
      </w:r>
      <w:r>
        <w:rPr>
          <w:sz w:val="28"/>
          <w:szCs w:val="28"/>
          <w:highlight w:val="none"/>
          <w:lang w:val="ru-RU" w:eastAsia="ru-RU"/>
        </w:rPr>
        <w:t xml:space="preserve"> – свыше 60 %.</w:t>
      </w:r>
      <w:r>
        <w:rPr>
          <w:sz w:val="28"/>
          <w:szCs w:val="28"/>
          <w:highlight w:val="none"/>
          <w:lang w:val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sz w:val="28"/>
          <w:szCs w:val="28"/>
          <w:highlight w:val="none"/>
          <w:lang w:val="ru-RU"/>
          <w14:ligatures w14:val="none"/>
        </w:rPr>
      </w:pPr>
      <w:r>
        <w:rPr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Выплаты предусмотрены только медицинским организациям 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II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и 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III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группы. </w:t>
      </w:r>
      <w:r>
        <w:rPr>
          <w:sz w:val="28"/>
          <w:szCs w:val="28"/>
          <w:highlight w:val="none"/>
          <w:lang w:val="ru-RU" w:eastAsia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sz w:val="28"/>
          <w:szCs w:val="28"/>
          <w:highlight w:val="none"/>
          <w:lang w:val="ru-RU"/>
          <w14:ligatures w14:val="none"/>
        </w:rPr>
      </w:pPr>
      <w:r>
        <w:rPr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Осуществление выплат производилось с учетом выполнения объемов амбулаторной медицинской помощи (выплаты в полном объеме получают медицинские организации, выполнив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шие 90% и более от плановых объемов).</w:t>
      </w:r>
      <w:r>
        <w:rPr>
          <w:sz w:val="28"/>
          <w:szCs w:val="28"/>
          <w:highlight w:val="none"/>
          <w:lang w:val="ru-RU" w:eastAsia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 w:eastAsia="ru-RU"/>
        </w:rPr>
        <w:t xml:space="preserve">Для осуществления выплат</w:t>
      </w:r>
      <w:r>
        <w:rPr>
          <w:sz w:val="28"/>
          <w:szCs w:val="28"/>
          <w:highlight w:val="none"/>
          <w:lang w:val="ru-RU"/>
          <w14:ligatures w14:val="none"/>
        </w:rPr>
        <w:t xml:space="preserve"> по итогам работы в 2022 году было предусмотренно 118,3 млн. рублей.</w:t>
      </w:r>
      <w:r>
        <w:rPr>
          <w:lang w:val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sz w:val="28"/>
          <w:szCs w:val="28"/>
          <w:highlight w:val="none"/>
          <w:lang w:val="ru-RU"/>
          <w14:ligatures w14:val="none"/>
        </w:rPr>
      </w:pPr>
      <w:r>
        <w:rPr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В 2022 году выплаты осуществлялись по результатам оценки выполнения показателей за 1 полугодие 2022 года и за период декабрь 2021 года – ноябрь 2022 года.</w:t>
      </w:r>
      <w:r>
        <w:rPr>
          <w:sz w:val="28"/>
          <w:szCs w:val="28"/>
          <w:highlight w:val="none"/>
          <w:lang w:val="ru-RU"/>
          <w14:ligatures w14:val="none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sz w:val="28"/>
          <w:szCs w:val="28"/>
          <w:highlight w:val="none"/>
          <w:lang w:val="ru-RU"/>
          <w14:ligatures w14:val="none"/>
        </w:rPr>
      </w:pPr>
      <w:r>
        <w:rPr>
          <w:sz w:val="28"/>
          <w:szCs w:val="28"/>
          <w:highlight w:val="none"/>
          <w:lang w:val="ru-RU"/>
          <w14:ligatures w14:val="none"/>
        </w:rPr>
        <w:t xml:space="preserve">По итогам работы за 1 полугодие 2022 года выплаты получили 12 медицинских организаций. Сумма выплат по медицинским организациям составила от 1,4 млн. рублей до 19,7 млн. рублей. Общая сумма выплат составила 53,0 млн. рублей.</w:t>
      </w:r>
      <w:r>
        <w:rPr>
          <w:sz w:val="28"/>
          <w:szCs w:val="28"/>
          <w:highlight w:val="none"/>
          <w:lang w:val="ru-RU"/>
          <w14:ligatures w14:val="none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sz w:val="28"/>
          <w:szCs w:val="28"/>
          <w:highlight w:val="none"/>
          <w:lang w:val="ru-RU"/>
          <w14:ligatures w14:val="none"/>
        </w:rPr>
      </w:pPr>
      <w:r>
        <w:rPr>
          <w:sz w:val="28"/>
          <w:szCs w:val="28"/>
          <w:highlight w:val="none"/>
          <w:lang w:val="ru-RU"/>
          <w14:ligatures w14:val="none"/>
        </w:rPr>
        <w:t xml:space="preserve">По итогам работы за период декабрь 2021 года – ноябрь 2022 года выплаты получили 32 медицинские организации. </w:t>
      </w:r>
      <w:r>
        <w:rPr>
          <w:sz w:val="28"/>
          <w:szCs w:val="28"/>
          <w:highlight w:val="none"/>
          <w:lang w:val="ru-RU"/>
          <w14:ligatures w14:val="none"/>
        </w:rPr>
        <w:t xml:space="preserve">Сумма выплат по медицинским организациям составила от 0,8 млн. рублей до 3,8 млн. рублей. Общая сумма выплат составила 65,3 млн. рублей.</w:t>
      </w:r>
      <w:r>
        <w:rPr>
          <w:sz w:val="28"/>
          <w:szCs w:val="28"/>
          <w:highlight w:val="none"/>
          <w:lang w:val="ru-RU"/>
          <w14:ligatures w14:val="none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sz w:val="28"/>
          <w:szCs w:val="28"/>
          <w:highlight w:val="none"/>
          <w:lang w:val="ru-RU"/>
          <w14:ligatures w14:val="none"/>
        </w:rPr>
      </w:pPr>
      <w:r>
        <w:rPr>
          <w:sz w:val="28"/>
          <w:szCs w:val="28"/>
          <w:highlight w:val="none"/>
          <w:lang w:val="ru-RU"/>
          <w14:ligatures w14:val="none"/>
        </w:rPr>
        <w:t xml:space="preserve">Общая сумма выплат за 2022 год составила 118,3 млн. рублей. Соответственно</w:t>
      </w:r>
      <w:r>
        <w:rPr>
          <w:sz w:val="28"/>
          <w:szCs w:val="28"/>
          <w:highlight w:val="none"/>
          <w:lang w:val="ru-RU"/>
        </w:rPr>
        <w:t xml:space="preserve">, в медицинские организации за выполнение показателей результативности в 2022 году направлены все денежные средства, предусмотренные для этих целей.</w:t>
      </w:r>
      <w:r>
        <w:rPr>
          <w:sz w:val="28"/>
          <w:szCs w:val="28"/>
          <w:highlight w:val="none"/>
          <w:lang w:val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sz w:val="28"/>
          <w:szCs w:val="28"/>
          <w:highlight w:val="none"/>
          <w:lang w:val="ru-RU"/>
          <w14:ligatures w14:val="none"/>
        </w:rPr>
      </w:pPr>
      <w:r>
        <w:rPr>
          <w:sz w:val="28"/>
          <w:szCs w:val="28"/>
          <w:highlight w:val="none"/>
          <w:lang w:val="ru-RU"/>
        </w:rPr>
        <w:t xml:space="preserve">Информация</w:t>
      </w:r>
      <w:r>
        <w:rPr>
          <w:sz w:val="28"/>
          <w:szCs w:val="28"/>
          <w:highlight w:val="none"/>
          <w:lang w:val="ru-RU"/>
        </w:rPr>
        <w:t xml:space="preserve"> об общей сумме выплат за выполнение показателей результативности в 2022 году в разрезе медицинских организаций представлена в таблице.</w:t>
      </w:r>
      <w:r>
        <w:rPr>
          <w:sz w:val="28"/>
          <w:szCs w:val="28"/>
          <w:highlight w:val="none"/>
          <w:lang w:val="ru-RU"/>
        </w:rPr>
      </w:r>
      <w:r/>
    </w:p>
    <w:tbl>
      <w:tblPr>
        <w:tblStyle w:val="702"/>
        <w:tblW w:w="0" w:type="auto"/>
        <w:tblLayout w:type="fixed"/>
        <w:tblLook w:val="04A0" w:firstRow="1" w:lastRow="0" w:firstColumn="1" w:lastColumn="0" w:noHBand="0" w:noVBand="1"/>
      </w:tblPr>
      <w:tblGrid>
        <w:gridCol w:w="7519"/>
        <w:gridCol w:w="2126"/>
      </w:tblGrid>
      <w:tr>
        <w:trPr>
          <w:trHeight w:val="134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Краткое наименован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ие м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едицинской организации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Сумма стимулирующих выплат за 2022 год, всего, </w:t>
              <w:br/>
              <w:t xml:space="preserve">млн. рублей.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«Липецкая ГБ № 4 «Липецк-Мед»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7,0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ГУЗ «Липецкая горбольница № 3 «Свободный сокол»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                                   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5,9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pStyle w:val="85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«Липецкая ГП № 4»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2,9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«Липецкая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горполиклиника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1»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5,1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«Липецкая городская поликлиника № 2»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3,0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«ЛГДБ»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0,0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«Липецкая ГП №5»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4,6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«ЛОКЦ»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                                                                              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1,7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«Липецкая ГБ СМП №1»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6,8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«НМЦ»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                                                                         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1,9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«Липецкая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горполиклиника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7»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6,5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«Елецкая ГДБ»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0,8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«Елецкая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им. Н.А. Семашко»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2,5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«Елецкая городская больница № 2»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1,6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ЧУЗ «РЖД - Медицина»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лец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                                                            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0,8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pStyle w:val="85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0,5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pStyle w:val="85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Грязинская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3,1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pStyle w:val="85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5,0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pStyle w:val="85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4,0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pStyle w:val="85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«Добровская РБ»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0,9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pStyle w:val="85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Долгоруковская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3,0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pStyle w:val="85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«Елецкая  РБ»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2,0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pStyle w:val="85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ЦРБ»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2,3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pStyle w:val="85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Измалковская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1,7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pStyle w:val="85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1,5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pStyle w:val="85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«Лебедянская ЦРБ»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22,5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pStyle w:val="85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«Лев-Толстовская РБ»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1,4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pStyle w:val="85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«Липецкая РБ»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8,8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pStyle w:val="85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Становлянская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1,4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pStyle w:val="85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Тербунская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1,9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pStyle w:val="85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2,0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pStyle w:val="85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Хлевенская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3,1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center"/>
            <w:textDirection w:val="lrTb"/>
            <w:noWrap w:val="false"/>
          </w:tcPr>
          <w:p>
            <w:pPr>
              <w:pStyle w:val="85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Чаплыгинская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2,1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ВСЕГО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118,3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sz w:val="28"/>
          <w:szCs w:val="28"/>
          <w:highlight w:val="none"/>
          <w:lang w:val="ru-RU"/>
          <w14:ligatures w14:val="none"/>
        </w:rPr>
      </w:pPr>
      <w:r>
        <w:rPr>
          <w:sz w:val="28"/>
          <w:szCs w:val="28"/>
          <w:highlight w:val="none"/>
          <w:lang w:val="ru-RU"/>
          <w14:ligatures w14:val="none"/>
        </w:rPr>
      </w:r>
      <w:r>
        <w:rPr>
          <w:sz w:val="28"/>
          <w:szCs w:val="28"/>
          <w:highlight w:val="none"/>
          <w:lang w:val="ru-RU"/>
          <w14:ligatures w14:val="none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sz w:val="28"/>
          <w:szCs w:val="28"/>
          <w:highlight w:val="none"/>
          <w:lang w:val="ru-RU"/>
          <w14:ligatures w14:val="none"/>
        </w:rPr>
      </w:pPr>
      <w:r>
        <w:rPr>
          <w:sz w:val="28"/>
          <w:szCs w:val="28"/>
          <w:highlight w:val="none"/>
          <w:lang w:val="ru-RU"/>
          <w14:ligatures w14:val="none"/>
        </w:rPr>
        <w:t xml:space="preserve">Таким образом, денежные средства за выполнение показателей результативности в 2022 году были направлены во все медицинские организации, имеющие прикрепившихся лиц, за исключением </w:t>
      </w:r>
      <w:r>
        <w:rPr>
          <w:sz w:val="28"/>
          <w:szCs w:val="28"/>
          <w:highlight w:val="none"/>
          <w:lang w:val="ru-RU"/>
          <w14:ligatures w14:val="none"/>
        </w:rPr>
        <w:t xml:space="preserve">ГУЗ «Липецкая городская детская больница»</w:t>
      </w:r>
      <w:r>
        <w:rPr>
          <w:sz w:val="28"/>
          <w:szCs w:val="28"/>
          <w:highlight w:val="none"/>
          <w:lang w:val="ru-RU"/>
          <w14:ligatures w14:val="none"/>
        </w:rPr>
        <w:t xml:space="preserve">, </w:t>
      </w:r>
      <w:r>
        <w:rPr>
          <w:sz w:val="28"/>
          <w:szCs w:val="28"/>
          <w:highlight w:val="none"/>
          <w:lang w:val="ru-RU"/>
        </w:rPr>
        <w:t xml:space="preserve">которое как по итогам 1 полугодия, так и по итогам за период декабрь 2021 года – ноябрь 2022 года отнесено к I группе, для которой не предусмотренны выплаты.</w:t>
      </w:r>
      <w:r>
        <w:rPr>
          <w:sz w:val="28"/>
          <w:szCs w:val="28"/>
          <w:highlight w:val="none"/>
          <w:lang w:val="ru-RU"/>
        </w:rPr>
      </w:r>
      <w:r/>
    </w:p>
    <w:p>
      <w:pPr>
        <w:pStyle w:val="851"/>
        <w:ind w:firstLine="700"/>
        <w:spacing w:before="0" w:after="0" w:afterAutospacing="0" w:line="283" w:lineRule="atLeast"/>
        <w:shd w:val="clear" w:color="auto" w:fill="auto"/>
        <w:rPr>
          <w:sz w:val="28"/>
          <w:szCs w:val="28"/>
          <w:highlight w:val="none"/>
          <w:lang w:val="ru-RU"/>
          <w14:ligatures w14:val="none"/>
        </w:rPr>
      </w:pPr>
      <w:r>
        <w:rPr>
          <w:sz w:val="28"/>
          <w:szCs w:val="28"/>
          <w:highlight w:val="none"/>
          <w:lang w:val="ru-RU"/>
        </w:rPr>
      </w:r>
      <w:r>
        <w:rPr>
          <w:sz w:val="28"/>
          <w:szCs w:val="28"/>
          <w:highlight w:val="none"/>
          <w:lang w:val="ru-RU"/>
        </w:rPr>
      </w:r>
      <w:r/>
    </w:p>
    <w:sectPr>
      <w:footnotePr/>
      <w:endnotePr/>
      <w:type w:val="nextPage"/>
      <w:pgSz w:w="11906" w:h="16838" w:orient="portrait"/>
      <w:pgMar w:top="709" w:right="850" w:bottom="709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 w:default="1">
    <w:name w:val="Normal"/>
    <w:qFormat/>
  </w:style>
  <w:style w:type="paragraph" w:styleId="651">
    <w:name w:val="Heading 1"/>
    <w:basedOn w:val="650"/>
    <w:next w:val="650"/>
    <w:link w:val="679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2">
    <w:name w:val="Heading 2"/>
    <w:basedOn w:val="650"/>
    <w:next w:val="650"/>
    <w:link w:val="855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53">
    <w:name w:val="Heading 3"/>
    <w:basedOn w:val="650"/>
    <w:next w:val="650"/>
    <w:link w:val="681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4">
    <w:name w:val="Heading 4"/>
    <w:basedOn w:val="650"/>
    <w:next w:val="650"/>
    <w:link w:val="68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5">
    <w:name w:val="Heading 5"/>
    <w:basedOn w:val="650"/>
    <w:next w:val="650"/>
    <w:link w:val="68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650"/>
    <w:next w:val="650"/>
    <w:link w:val="68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57">
    <w:name w:val="Heading 7"/>
    <w:basedOn w:val="650"/>
    <w:next w:val="650"/>
    <w:link w:val="68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58">
    <w:name w:val="Heading 8"/>
    <w:basedOn w:val="650"/>
    <w:next w:val="650"/>
    <w:link w:val="68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59">
    <w:name w:val="Heading 9"/>
    <w:basedOn w:val="650"/>
    <w:next w:val="650"/>
    <w:link w:val="68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Heading 1 Char"/>
    <w:basedOn w:val="660"/>
    <w:uiPriority w:val="9"/>
    <w:rPr>
      <w:rFonts w:ascii="Arial" w:hAnsi="Arial" w:eastAsia="Arial" w:cs="Arial"/>
      <w:sz w:val="40"/>
      <w:szCs w:val="40"/>
    </w:rPr>
  </w:style>
  <w:style w:type="character" w:styleId="664" w:customStyle="1">
    <w:name w:val="Heading 3 Char"/>
    <w:basedOn w:val="660"/>
    <w:uiPriority w:val="9"/>
    <w:rPr>
      <w:rFonts w:ascii="Arial" w:hAnsi="Arial" w:eastAsia="Arial" w:cs="Arial"/>
      <w:sz w:val="30"/>
      <w:szCs w:val="30"/>
    </w:rPr>
  </w:style>
  <w:style w:type="character" w:styleId="665" w:customStyle="1">
    <w:name w:val="Heading 4 Char"/>
    <w:basedOn w:val="660"/>
    <w:uiPriority w:val="9"/>
    <w:rPr>
      <w:rFonts w:ascii="Arial" w:hAnsi="Arial" w:eastAsia="Arial" w:cs="Arial"/>
      <w:b/>
      <w:bCs/>
      <w:sz w:val="26"/>
      <w:szCs w:val="26"/>
    </w:rPr>
  </w:style>
  <w:style w:type="character" w:styleId="666" w:customStyle="1">
    <w:name w:val="Heading 5 Char"/>
    <w:basedOn w:val="660"/>
    <w:uiPriority w:val="9"/>
    <w:rPr>
      <w:rFonts w:ascii="Arial" w:hAnsi="Arial" w:eastAsia="Arial" w:cs="Arial"/>
      <w:b/>
      <w:bCs/>
      <w:sz w:val="24"/>
      <w:szCs w:val="24"/>
    </w:rPr>
  </w:style>
  <w:style w:type="character" w:styleId="667" w:customStyle="1">
    <w:name w:val="Heading 6 Char"/>
    <w:basedOn w:val="660"/>
    <w:uiPriority w:val="9"/>
    <w:rPr>
      <w:rFonts w:ascii="Arial" w:hAnsi="Arial" w:eastAsia="Arial" w:cs="Arial"/>
      <w:b/>
      <w:bCs/>
      <w:sz w:val="22"/>
      <w:szCs w:val="22"/>
    </w:rPr>
  </w:style>
  <w:style w:type="character" w:styleId="668" w:customStyle="1">
    <w:name w:val="Heading 7 Char"/>
    <w:basedOn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9" w:customStyle="1">
    <w:name w:val="Heading 8 Char"/>
    <w:basedOn w:val="660"/>
    <w:uiPriority w:val="9"/>
    <w:rPr>
      <w:rFonts w:ascii="Arial" w:hAnsi="Arial" w:eastAsia="Arial" w:cs="Arial"/>
      <w:i/>
      <w:iCs/>
      <w:sz w:val="22"/>
      <w:szCs w:val="22"/>
    </w:rPr>
  </w:style>
  <w:style w:type="character" w:styleId="670" w:customStyle="1">
    <w:name w:val="Heading 9 Char"/>
    <w:basedOn w:val="660"/>
    <w:uiPriority w:val="9"/>
    <w:rPr>
      <w:rFonts w:ascii="Arial" w:hAnsi="Arial" w:eastAsia="Arial" w:cs="Arial"/>
      <w:i/>
      <w:iCs/>
      <w:sz w:val="21"/>
      <w:szCs w:val="21"/>
    </w:rPr>
  </w:style>
  <w:style w:type="character" w:styleId="671" w:customStyle="1">
    <w:name w:val="Title Char"/>
    <w:basedOn w:val="660"/>
    <w:uiPriority w:val="10"/>
    <w:rPr>
      <w:sz w:val="48"/>
      <w:szCs w:val="48"/>
    </w:rPr>
  </w:style>
  <w:style w:type="character" w:styleId="672" w:customStyle="1">
    <w:name w:val="Subtitle Char"/>
    <w:basedOn w:val="660"/>
    <w:uiPriority w:val="11"/>
    <w:rPr>
      <w:sz w:val="24"/>
      <w:szCs w:val="24"/>
    </w:rPr>
  </w:style>
  <w:style w:type="character" w:styleId="673" w:customStyle="1">
    <w:name w:val="Quote Char"/>
    <w:uiPriority w:val="29"/>
    <w:rPr>
      <w:i/>
    </w:rPr>
  </w:style>
  <w:style w:type="character" w:styleId="674" w:customStyle="1">
    <w:name w:val="Intense Quote Char"/>
    <w:uiPriority w:val="30"/>
    <w:rPr>
      <w:i/>
    </w:rPr>
  </w:style>
  <w:style w:type="character" w:styleId="675" w:customStyle="1">
    <w:name w:val="Header Char"/>
    <w:basedOn w:val="660"/>
    <w:uiPriority w:val="99"/>
  </w:style>
  <w:style w:type="character" w:styleId="676" w:customStyle="1">
    <w:name w:val="Caption Char"/>
    <w:uiPriority w:val="99"/>
  </w:style>
  <w:style w:type="character" w:styleId="677" w:customStyle="1">
    <w:name w:val="Footnote Text Char"/>
    <w:uiPriority w:val="99"/>
    <w:rPr>
      <w:sz w:val="18"/>
    </w:rPr>
  </w:style>
  <w:style w:type="character" w:styleId="678" w:customStyle="1">
    <w:name w:val="Endnote Text Char"/>
    <w:uiPriority w:val="99"/>
    <w:rPr>
      <w:sz w:val="20"/>
    </w:rPr>
  </w:style>
  <w:style w:type="character" w:styleId="679" w:customStyle="1">
    <w:name w:val="Заголовок 1 Знак"/>
    <w:basedOn w:val="660"/>
    <w:link w:val="651"/>
    <w:uiPriority w:val="9"/>
    <w:rPr>
      <w:rFonts w:ascii="Arial" w:hAnsi="Arial" w:eastAsia="Arial" w:cs="Arial"/>
      <w:sz w:val="40"/>
      <w:szCs w:val="40"/>
    </w:rPr>
  </w:style>
  <w:style w:type="character" w:styleId="680" w:customStyle="1">
    <w:name w:val="Heading 2 Char"/>
    <w:basedOn w:val="660"/>
    <w:uiPriority w:val="9"/>
    <w:rPr>
      <w:rFonts w:ascii="Arial" w:hAnsi="Arial" w:eastAsia="Arial" w:cs="Arial"/>
      <w:sz w:val="34"/>
    </w:rPr>
  </w:style>
  <w:style w:type="character" w:styleId="681" w:customStyle="1">
    <w:name w:val="Заголовок 3 Знак"/>
    <w:basedOn w:val="660"/>
    <w:link w:val="653"/>
    <w:uiPriority w:val="9"/>
    <w:rPr>
      <w:rFonts w:ascii="Arial" w:hAnsi="Arial" w:eastAsia="Arial" w:cs="Arial"/>
      <w:sz w:val="30"/>
      <w:szCs w:val="30"/>
    </w:rPr>
  </w:style>
  <w:style w:type="character" w:styleId="682" w:customStyle="1">
    <w:name w:val="Заголовок 4 Знак"/>
    <w:basedOn w:val="660"/>
    <w:link w:val="654"/>
    <w:uiPriority w:val="9"/>
    <w:rPr>
      <w:rFonts w:ascii="Arial" w:hAnsi="Arial" w:eastAsia="Arial" w:cs="Arial"/>
      <w:b/>
      <w:bCs/>
      <w:sz w:val="26"/>
      <w:szCs w:val="26"/>
    </w:rPr>
  </w:style>
  <w:style w:type="character" w:styleId="683" w:customStyle="1">
    <w:name w:val="Заголовок 5 Знак"/>
    <w:basedOn w:val="660"/>
    <w:link w:val="655"/>
    <w:uiPriority w:val="9"/>
    <w:rPr>
      <w:rFonts w:ascii="Arial" w:hAnsi="Arial" w:eastAsia="Arial" w:cs="Arial"/>
      <w:b/>
      <w:bCs/>
      <w:sz w:val="24"/>
      <w:szCs w:val="24"/>
    </w:rPr>
  </w:style>
  <w:style w:type="character" w:styleId="684" w:customStyle="1">
    <w:name w:val="Заголовок 6 Знак"/>
    <w:basedOn w:val="660"/>
    <w:link w:val="656"/>
    <w:uiPriority w:val="9"/>
    <w:rPr>
      <w:rFonts w:ascii="Arial" w:hAnsi="Arial" w:eastAsia="Arial" w:cs="Arial"/>
      <w:b/>
      <w:bCs/>
      <w:sz w:val="22"/>
      <w:szCs w:val="22"/>
    </w:rPr>
  </w:style>
  <w:style w:type="character" w:styleId="685" w:customStyle="1">
    <w:name w:val="Заголовок 7 Знак"/>
    <w:basedOn w:val="660"/>
    <w:link w:val="6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6" w:customStyle="1">
    <w:name w:val="Заголовок 8 Знак"/>
    <w:basedOn w:val="660"/>
    <w:link w:val="658"/>
    <w:uiPriority w:val="9"/>
    <w:rPr>
      <w:rFonts w:ascii="Arial" w:hAnsi="Arial" w:eastAsia="Arial" w:cs="Arial"/>
      <w:i/>
      <w:iCs/>
      <w:sz w:val="22"/>
      <w:szCs w:val="22"/>
    </w:rPr>
  </w:style>
  <w:style w:type="character" w:styleId="687" w:customStyle="1">
    <w:name w:val="Заголовок 9 Знак"/>
    <w:basedOn w:val="660"/>
    <w:link w:val="659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Title"/>
    <w:basedOn w:val="650"/>
    <w:next w:val="650"/>
    <w:link w:val="689"/>
    <w:uiPriority w:val="10"/>
    <w:qFormat/>
    <w:pPr>
      <w:contextualSpacing/>
      <w:spacing w:before="300"/>
    </w:pPr>
    <w:rPr>
      <w:sz w:val="48"/>
      <w:szCs w:val="48"/>
    </w:rPr>
  </w:style>
  <w:style w:type="character" w:styleId="689" w:customStyle="1">
    <w:name w:val="Название Знак"/>
    <w:basedOn w:val="660"/>
    <w:link w:val="688"/>
    <w:uiPriority w:val="10"/>
    <w:rPr>
      <w:sz w:val="48"/>
      <w:szCs w:val="48"/>
    </w:rPr>
  </w:style>
  <w:style w:type="paragraph" w:styleId="690">
    <w:name w:val="Subtitle"/>
    <w:basedOn w:val="650"/>
    <w:next w:val="650"/>
    <w:link w:val="691"/>
    <w:uiPriority w:val="11"/>
    <w:qFormat/>
    <w:pPr>
      <w:spacing w:before="200"/>
    </w:pPr>
    <w:rPr>
      <w:sz w:val="24"/>
      <w:szCs w:val="24"/>
    </w:rPr>
  </w:style>
  <w:style w:type="character" w:styleId="691" w:customStyle="1">
    <w:name w:val="Подзаголовок Знак"/>
    <w:basedOn w:val="660"/>
    <w:link w:val="690"/>
    <w:uiPriority w:val="11"/>
    <w:rPr>
      <w:sz w:val="24"/>
      <w:szCs w:val="24"/>
    </w:rPr>
  </w:style>
  <w:style w:type="paragraph" w:styleId="692">
    <w:name w:val="Quote"/>
    <w:basedOn w:val="650"/>
    <w:next w:val="650"/>
    <w:link w:val="693"/>
    <w:uiPriority w:val="29"/>
    <w:qFormat/>
    <w:pPr>
      <w:ind w:left="720" w:right="720"/>
    </w:pPr>
    <w:rPr>
      <w:i/>
    </w:rPr>
  </w:style>
  <w:style w:type="character" w:styleId="693" w:customStyle="1">
    <w:name w:val="Цитата 2 Знак"/>
    <w:link w:val="692"/>
    <w:uiPriority w:val="29"/>
    <w:rPr>
      <w:i/>
    </w:rPr>
  </w:style>
  <w:style w:type="paragraph" w:styleId="694">
    <w:name w:val="Intense Quote"/>
    <w:basedOn w:val="650"/>
    <w:next w:val="650"/>
    <w:link w:val="69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 w:customStyle="1">
    <w:name w:val="Выделенная цитата Знак"/>
    <w:link w:val="694"/>
    <w:uiPriority w:val="30"/>
    <w:rPr>
      <w:i/>
    </w:rPr>
  </w:style>
  <w:style w:type="paragraph" w:styleId="696">
    <w:name w:val="Header"/>
    <w:basedOn w:val="650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 w:customStyle="1">
    <w:name w:val="Верхний колонтитул Знак"/>
    <w:basedOn w:val="660"/>
    <w:link w:val="696"/>
    <w:uiPriority w:val="99"/>
  </w:style>
  <w:style w:type="paragraph" w:styleId="698">
    <w:name w:val="Footer"/>
    <w:basedOn w:val="650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 w:customStyle="1">
    <w:name w:val="Footer Char"/>
    <w:basedOn w:val="660"/>
    <w:uiPriority w:val="99"/>
  </w:style>
  <w:style w:type="paragraph" w:styleId="700">
    <w:name w:val="Caption"/>
    <w:basedOn w:val="650"/>
    <w:next w:val="65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1" w:customStyle="1">
    <w:name w:val="Нижний колонтитул Знак"/>
    <w:link w:val="698"/>
    <w:uiPriority w:val="99"/>
  </w:style>
  <w:style w:type="table" w:styleId="702">
    <w:name w:val="Table Grid"/>
    <w:basedOn w:val="66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Table Grid Light"/>
    <w:basedOn w:val="66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Plain Table 1"/>
    <w:basedOn w:val="66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2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 w:customStyle="1">
    <w:name w:val="Plain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 w:customStyle="1">
    <w:name w:val="Plain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Plain Table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 w:customStyle="1">
    <w:name w:val="Grid Table 4 - Accent 1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2" w:customStyle="1">
    <w:name w:val="Grid Table 4 - Accent 2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3" w:customStyle="1">
    <w:name w:val="Grid Table 4 - Accent 3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4" w:customStyle="1">
    <w:name w:val="Grid Table 4 - Accent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5" w:customStyle="1">
    <w:name w:val="Grid Table 4 - Accent 5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6" w:customStyle="1">
    <w:name w:val="Grid Table 4 - Accent 6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7" w:customStyle="1">
    <w:name w:val="Grid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5" w:customStyle="1">
    <w:name w:val="Grid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6" w:customStyle="1">
    <w:name w:val="Grid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7" w:customStyle="1">
    <w:name w:val="Grid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8" w:customStyle="1">
    <w:name w:val="Grid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9" w:customStyle="1">
    <w:name w:val="Grid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 w:customStyle="1">
    <w:name w:val="Grid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1" w:customStyle="1">
    <w:name w:val="Grid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Grid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3" w:customStyle="1">
    <w:name w:val="Grid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List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2" w:customStyle="1">
    <w:name w:val="List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4" w:customStyle="1">
    <w:name w:val="List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5" w:customStyle="1">
    <w:name w:val="List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6" w:customStyle="1">
    <w:name w:val="List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7" w:customStyle="1">
    <w:name w:val="List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8" w:customStyle="1">
    <w:name w:val="List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9" w:customStyle="1">
    <w:name w:val="List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0" w:customStyle="1">
    <w:name w:val="List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st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List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ned - Accent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8" w:customStyle="1">
    <w:name w:val="Lined - Accent 1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9" w:customStyle="1">
    <w:name w:val="Lined - Accent 2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0" w:customStyle="1">
    <w:name w:val="Lined - Accent 3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1" w:customStyle="1">
    <w:name w:val="Lined - Accent 4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2" w:customStyle="1">
    <w:name w:val="Lined - Accent 5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3" w:customStyle="1">
    <w:name w:val="Lined - Accent 6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4" w:customStyle="1">
    <w:name w:val="Bordered &amp; Lined - Accent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Bordered &amp; Lined - Accent 1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6" w:customStyle="1">
    <w:name w:val="Bordered &amp; Lined - Accent 2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7" w:customStyle="1">
    <w:name w:val="Bordered &amp; Lined - Accent 3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8" w:customStyle="1">
    <w:name w:val="Bordered &amp; Lined - Accent 4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9" w:customStyle="1">
    <w:name w:val="Bordered &amp; Lined - Accent 5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0" w:customStyle="1">
    <w:name w:val="Bordered &amp; Lined - Accent 6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1" w:customStyle="1">
    <w:name w:val="Bordered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2" w:customStyle="1">
    <w:name w:val="Bordered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3" w:customStyle="1">
    <w:name w:val="Bordered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4" w:customStyle="1">
    <w:name w:val="Bordered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5" w:customStyle="1">
    <w:name w:val="Bordered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6" w:customStyle="1">
    <w:name w:val="Bordered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7" w:customStyle="1">
    <w:name w:val="Bordered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28">
    <w:name w:val="footnote text"/>
    <w:basedOn w:val="650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basedOn w:val="660"/>
    <w:uiPriority w:val="99"/>
    <w:unhideWhenUsed/>
    <w:rPr>
      <w:vertAlign w:val="superscript"/>
    </w:rPr>
  </w:style>
  <w:style w:type="paragraph" w:styleId="831">
    <w:name w:val="endnote text"/>
    <w:basedOn w:val="650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 w:customStyle="1">
    <w:name w:val="Текст концевой сноски Знак"/>
    <w:link w:val="831"/>
    <w:uiPriority w:val="99"/>
    <w:rPr>
      <w:sz w:val="20"/>
    </w:rPr>
  </w:style>
  <w:style w:type="character" w:styleId="833">
    <w:name w:val="endnote reference"/>
    <w:basedOn w:val="660"/>
    <w:uiPriority w:val="99"/>
    <w:semiHidden/>
    <w:unhideWhenUsed/>
    <w:rPr>
      <w:vertAlign w:val="superscript"/>
    </w:rPr>
  </w:style>
  <w:style w:type="paragraph" w:styleId="834">
    <w:name w:val="toc 1"/>
    <w:basedOn w:val="650"/>
    <w:next w:val="650"/>
    <w:uiPriority w:val="39"/>
    <w:unhideWhenUsed/>
    <w:pPr>
      <w:spacing w:after="57"/>
    </w:pPr>
  </w:style>
  <w:style w:type="paragraph" w:styleId="835">
    <w:name w:val="toc 2"/>
    <w:basedOn w:val="650"/>
    <w:next w:val="650"/>
    <w:uiPriority w:val="39"/>
    <w:unhideWhenUsed/>
    <w:pPr>
      <w:ind w:left="283"/>
      <w:spacing w:after="57"/>
    </w:pPr>
  </w:style>
  <w:style w:type="paragraph" w:styleId="836">
    <w:name w:val="toc 3"/>
    <w:basedOn w:val="650"/>
    <w:next w:val="650"/>
    <w:uiPriority w:val="39"/>
    <w:unhideWhenUsed/>
    <w:pPr>
      <w:ind w:left="567"/>
      <w:spacing w:after="57"/>
    </w:pPr>
  </w:style>
  <w:style w:type="paragraph" w:styleId="837">
    <w:name w:val="toc 4"/>
    <w:basedOn w:val="650"/>
    <w:next w:val="650"/>
    <w:uiPriority w:val="39"/>
    <w:unhideWhenUsed/>
    <w:pPr>
      <w:ind w:left="850"/>
      <w:spacing w:after="57"/>
    </w:pPr>
  </w:style>
  <w:style w:type="paragraph" w:styleId="838">
    <w:name w:val="toc 5"/>
    <w:basedOn w:val="650"/>
    <w:next w:val="650"/>
    <w:uiPriority w:val="39"/>
    <w:unhideWhenUsed/>
    <w:pPr>
      <w:ind w:left="1134"/>
      <w:spacing w:after="57"/>
    </w:pPr>
  </w:style>
  <w:style w:type="paragraph" w:styleId="839">
    <w:name w:val="toc 6"/>
    <w:basedOn w:val="650"/>
    <w:next w:val="650"/>
    <w:uiPriority w:val="39"/>
    <w:unhideWhenUsed/>
    <w:pPr>
      <w:ind w:left="1417"/>
      <w:spacing w:after="57"/>
    </w:pPr>
  </w:style>
  <w:style w:type="paragraph" w:styleId="840">
    <w:name w:val="toc 7"/>
    <w:basedOn w:val="650"/>
    <w:next w:val="650"/>
    <w:uiPriority w:val="39"/>
    <w:unhideWhenUsed/>
    <w:pPr>
      <w:ind w:left="1701"/>
      <w:spacing w:after="57"/>
    </w:pPr>
  </w:style>
  <w:style w:type="paragraph" w:styleId="841">
    <w:name w:val="toc 8"/>
    <w:basedOn w:val="650"/>
    <w:next w:val="650"/>
    <w:uiPriority w:val="39"/>
    <w:unhideWhenUsed/>
    <w:pPr>
      <w:ind w:left="1984"/>
      <w:spacing w:after="57"/>
    </w:pPr>
  </w:style>
  <w:style w:type="paragraph" w:styleId="842">
    <w:name w:val="toc 9"/>
    <w:basedOn w:val="650"/>
    <w:next w:val="650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650"/>
    <w:next w:val="650"/>
    <w:uiPriority w:val="99"/>
    <w:unhideWhenUsed/>
    <w:pPr>
      <w:spacing w:after="0"/>
    </w:pPr>
  </w:style>
  <w:style w:type="paragraph" w:styleId="845">
    <w:name w:val="Body Text"/>
    <w:basedOn w:val="650"/>
    <w:link w:val="846"/>
    <w:pPr>
      <w:spacing w:after="120" w:line="240" w:lineRule="auto"/>
      <w:widowControl w:val="off"/>
    </w:pPr>
    <w:rPr>
      <w:rFonts w:ascii="Times New Roman" w:hAnsi="Times New Roman" w:eastAsia="Times New Roman" w:cs="Times New Roman"/>
      <w:sz w:val="20"/>
      <w:szCs w:val="20"/>
    </w:rPr>
  </w:style>
  <w:style w:type="character" w:styleId="846" w:customStyle="1">
    <w:name w:val="Основной текст Знак"/>
    <w:basedOn w:val="660"/>
    <w:link w:val="845"/>
    <w:rPr>
      <w:rFonts w:ascii="Times New Roman" w:hAnsi="Times New Roman" w:eastAsia="Times New Roman" w:cs="Times New Roman"/>
      <w:sz w:val="20"/>
      <w:szCs w:val="20"/>
    </w:rPr>
  </w:style>
  <w:style w:type="paragraph" w:styleId="847">
    <w:name w:val="List Paragraph"/>
    <w:basedOn w:val="650"/>
    <w:uiPriority w:val="34"/>
    <w:qFormat/>
    <w:pPr>
      <w:contextualSpacing/>
      <w:ind w:left="720"/>
    </w:pPr>
  </w:style>
  <w:style w:type="paragraph" w:styleId="848">
    <w:name w:val="Balloon Text"/>
    <w:basedOn w:val="650"/>
    <w:link w:val="84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9" w:customStyle="1">
    <w:name w:val="Текст выноски Знак"/>
    <w:basedOn w:val="660"/>
    <w:link w:val="848"/>
    <w:uiPriority w:val="99"/>
    <w:semiHidden/>
    <w:rPr>
      <w:rFonts w:ascii="Tahoma" w:hAnsi="Tahoma" w:cs="Tahoma"/>
      <w:sz w:val="16"/>
      <w:szCs w:val="16"/>
    </w:rPr>
  </w:style>
  <w:style w:type="character" w:styleId="850" w:customStyle="1">
    <w:name w:val="Основной текст_"/>
    <w:link w:val="851"/>
    <w:rPr>
      <w:rFonts w:ascii="Times New Roman" w:hAnsi="Times New Roman" w:eastAsia="Times New Roman" w:cs="Times New Roman"/>
      <w:sz w:val="27"/>
      <w:szCs w:val="27"/>
      <w:shd w:val="clear" w:color="auto" w:fill="ffffff"/>
    </w:rPr>
  </w:style>
  <w:style w:type="paragraph" w:styleId="851" w:customStyle="1">
    <w:name w:val="Основной текст2"/>
    <w:basedOn w:val="650"/>
    <w:link w:val="850"/>
    <w:pPr>
      <w:jc w:val="both"/>
      <w:spacing w:before="300" w:after="0" w:line="317" w:lineRule="exact"/>
      <w:shd w:val="clear" w:color="auto" w:fill="ffffff"/>
      <w:widowControl w:val="off"/>
    </w:pPr>
    <w:rPr>
      <w:rFonts w:ascii="Times New Roman" w:hAnsi="Times New Roman" w:eastAsia="Times New Roman" w:cs="Times New Roman"/>
      <w:sz w:val="27"/>
      <w:szCs w:val="27"/>
    </w:rPr>
  </w:style>
  <w:style w:type="paragraph" w:styleId="852">
    <w:name w:val="Normal (Web)"/>
    <w:basedOn w:val="65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3">
    <w:name w:val="No Spacing"/>
    <w:uiPriority w:val="1"/>
    <w:qFormat/>
    <w:pPr>
      <w:spacing w:after="0" w:line="240" w:lineRule="auto"/>
    </w:pPr>
  </w:style>
  <w:style w:type="character" w:styleId="854">
    <w:name w:val="Hyperlink"/>
    <w:basedOn w:val="660"/>
    <w:uiPriority w:val="99"/>
    <w:semiHidden/>
    <w:unhideWhenUsed/>
    <w:rPr>
      <w:color w:val="0000ff"/>
      <w:u w:val="single"/>
    </w:rPr>
  </w:style>
  <w:style w:type="character" w:styleId="855" w:customStyle="1">
    <w:name w:val="Заголовок 2 Знак"/>
    <w:basedOn w:val="660"/>
    <w:link w:val="65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56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69EF-D643-4F86-972D-028EA5C9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Ражина</dc:creator>
  <cp:revision>90</cp:revision>
  <dcterms:created xsi:type="dcterms:W3CDTF">2022-09-15T06:40:00Z</dcterms:created>
  <dcterms:modified xsi:type="dcterms:W3CDTF">2023-04-27T08:41:44Z</dcterms:modified>
</cp:coreProperties>
</file>