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spacing w:after="0" w:line="240" w:lineRule="atLeas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Об итогах работы ТФОМС Липецкой области за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9 месяцев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202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.</w:t>
      </w:r>
      <w:r/>
    </w:p>
    <w:p>
      <w:pPr>
        <w:ind w:firstLine="567"/>
        <w:spacing w:after="0" w:line="240" w:lineRule="atLeast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</w:r>
      <w:r/>
    </w:p>
    <w:p>
      <w:pPr>
        <w:pStyle w:val="614"/>
        <w:ind w:firstLine="720"/>
        <w:jc w:val="both"/>
        <w:spacing w:after="0"/>
        <w:tabs>
          <w:tab w:val="left" w:pos="72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</w:t>
      </w:r>
      <w:r>
        <w:rPr>
          <w:spacing w:val="-5"/>
          <w:sz w:val="28"/>
          <w:szCs w:val="28"/>
        </w:rPr>
        <w:t xml:space="preserve">9 месяцев </w:t>
      </w:r>
      <w:r>
        <w:rPr>
          <w:sz w:val="28"/>
          <w:szCs w:val="28"/>
          <w:lang w:val="ru-RU"/>
        </w:rPr>
        <w:t xml:space="preserve">2022 года доходы бюджета территориального фонда ОМС </w:t>
      </w:r>
      <w:r>
        <w:rPr>
          <w:sz w:val="28"/>
          <w:szCs w:val="28"/>
          <w:lang w:val="ru-RU"/>
        </w:rPr>
        <w:t xml:space="preserve">сложились в размере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13 272,2 </w:t>
      </w:r>
      <w:r>
        <w:rPr>
          <w:sz w:val="28"/>
          <w:szCs w:val="28"/>
        </w:rPr>
        <w:t xml:space="preserve">млн</w:t>
      </w:r>
      <w:r>
        <w:rPr>
          <w:sz w:val="28"/>
          <w:szCs w:val="28"/>
        </w:rPr>
        <w:t xml:space="preserve">.р</w:t>
      </w:r>
      <w:r>
        <w:rPr>
          <w:sz w:val="28"/>
          <w:szCs w:val="28"/>
        </w:rPr>
        <w:t xml:space="preserve">уб</w:t>
      </w:r>
      <w:r>
        <w:rPr>
          <w:sz w:val="28"/>
          <w:szCs w:val="28"/>
        </w:rPr>
        <w:t xml:space="preserve">., что составляет </w:t>
      </w:r>
      <w:r>
        <w:rPr>
          <w:sz w:val="28"/>
          <w:szCs w:val="28"/>
          <w:lang w:val="ru-RU"/>
        </w:rPr>
        <w:t xml:space="preserve">99,7</w:t>
      </w:r>
      <w:r>
        <w:rPr>
          <w:sz w:val="28"/>
          <w:szCs w:val="28"/>
        </w:rPr>
        <w:t xml:space="preserve">% от утвержденных законом бюджетных назначений и </w:t>
      </w:r>
      <w:r>
        <w:rPr>
          <w:sz w:val="28"/>
          <w:szCs w:val="28"/>
          <w:lang w:val="ru-RU"/>
        </w:rPr>
        <w:t xml:space="preserve">108,6</w:t>
      </w:r>
      <w:r>
        <w:rPr>
          <w:sz w:val="28"/>
          <w:szCs w:val="28"/>
        </w:rPr>
        <w:t xml:space="preserve">% к доходам аналогичного периода 20</w:t>
      </w:r>
      <w:r>
        <w:rPr>
          <w:sz w:val="28"/>
          <w:szCs w:val="28"/>
          <w:lang w:val="ru-RU"/>
        </w:rPr>
        <w:t xml:space="preserve">21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года  (</w:t>
      </w:r>
      <w:r>
        <w:rPr>
          <w:sz w:val="28"/>
          <w:szCs w:val="28"/>
          <w:lang w:val="ru-RU"/>
        </w:rPr>
        <w:t xml:space="preserve">12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219,0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млн.руб</w:t>
      </w:r>
      <w:r>
        <w:rPr>
          <w:sz w:val="28"/>
          <w:szCs w:val="28"/>
          <w:lang w:val="ru-RU"/>
        </w:rPr>
        <w:t xml:space="preserve">.). </w:t>
      </w:r>
      <w:r/>
    </w:p>
    <w:p>
      <w:pPr>
        <w:pStyle w:val="614"/>
        <w:ind w:firstLine="720"/>
        <w:jc w:val="both"/>
        <w:spacing w:after="0"/>
        <w:tabs>
          <w:tab w:val="left" w:pos="72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бюджет территориального фонда обязательного медицинского страхования Липецкой области за </w:t>
      </w:r>
      <w:r>
        <w:rPr>
          <w:sz w:val="28"/>
          <w:szCs w:val="28"/>
          <w:lang w:val="ru-RU"/>
        </w:rPr>
        <w:t xml:space="preserve">этот период</w:t>
      </w:r>
      <w:r>
        <w:rPr>
          <w:sz w:val="28"/>
          <w:szCs w:val="28"/>
          <w:lang w:val="ru-RU"/>
        </w:rPr>
        <w:t xml:space="preserve"> поступило сре</w:t>
      </w:r>
      <w:r>
        <w:rPr>
          <w:sz w:val="28"/>
          <w:szCs w:val="28"/>
          <w:lang w:val="ru-RU"/>
        </w:rPr>
        <w:t xml:space="preserve">дств в в</w:t>
      </w:r>
      <w:r>
        <w:rPr>
          <w:sz w:val="28"/>
          <w:szCs w:val="28"/>
          <w:lang w:val="ru-RU"/>
        </w:rPr>
        <w:t xml:space="preserve">иде:</w:t>
      </w:r>
      <w:r/>
    </w:p>
    <w:p>
      <w:pPr>
        <w:pStyle w:val="614"/>
        <w:ind w:firstLine="720"/>
        <w:jc w:val="both"/>
        <w:spacing w:after="0"/>
        <w:tabs>
          <w:tab w:val="left" w:pos="72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субвенции из Федерального фонда обязательного медицинского страхования на финансовое обеспечение организации обязательного медицинского страхования в сумме </w:t>
      </w:r>
      <w:r>
        <w:rPr>
          <w:sz w:val="28"/>
          <w:szCs w:val="28"/>
          <w:lang w:val="ru-RU"/>
        </w:rPr>
        <w:t xml:space="preserve">12 774,2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млн</w:t>
      </w:r>
      <w:r>
        <w:rPr>
          <w:sz w:val="28"/>
          <w:szCs w:val="28"/>
          <w:lang w:val="ru-RU"/>
        </w:rPr>
        <w:t xml:space="preserve">.р</w:t>
      </w:r>
      <w:r>
        <w:rPr>
          <w:sz w:val="28"/>
          <w:szCs w:val="28"/>
          <w:lang w:val="ru-RU"/>
        </w:rPr>
        <w:t xml:space="preserve">уб</w:t>
      </w:r>
      <w:r>
        <w:rPr>
          <w:sz w:val="28"/>
          <w:szCs w:val="28"/>
          <w:lang w:val="ru-RU"/>
        </w:rPr>
        <w:t xml:space="preserve">.; </w:t>
      </w:r>
      <w:r/>
    </w:p>
    <w:p>
      <w:pPr>
        <w:pStyle w:val="614"/>
        <w:ind w:firstLine="720"/>
        <w:jc w:val="both"/>
        <w:spacing w:after="0"/>
        <w:tabs>
          <w:tab w:val="left" w:pos="72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межбюджетных трансфертов, полученных из областного бюджета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в размере </w:t>
      </w:r>
      <w:r>
        <w:rPr>
          <w:sz w:val="28"/>
          <w:szCs w:val="28"/>
          <w:lang w:val="ru-RU"/>
        </w:rPr>
        <w:t xml:space="preserve">76</w:t>
      </w:r>
      <w:r>
        <w:rPr>
          <w:sz w:val="28"/>
          <w:szCs w:val="28"/>
          <w:lang w:val="ru-RU"/>
        </w:rPr>
        <w:t xml:space="preserve">,0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млн</w:t>
      </w:r>
      <w:r>
        <w:rPr>
          <w:sz w:val="28"/>
          <w:szCs w:val="28"/>
          <w:lang w:val="ru-RU"/>
        </w:rPr>
        <w:t xml:space="preserve">.р</w:t>
      </w:r>
      <w:r>
        <w:rPr>
          <w:sz w:val="28"/>
          <w:szCs w:val="28"/>
          <w:lang w:val="ru-RU"/>
        </w:rPr>
        <w:t xml:space="preserve">уб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614"/>
        <w:ind w:firstLine="720"/>
        <w:jc w:val="both"/>
        <w:spacing w:after="0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Рост сопоставимых доходов </w:t>
      </w:r>
      <w:r>
        <w:rPr>
          <w:sz w:val="28"/>
          <w:szCs w:val="28"/>
          <w:lang w:val="ru-RU"/>
        </w:rPr>
        <w:t xml:space="preserve">ТФОМС Липецкой области</w:t>
      </w:r>
      <w:r>
        <w:rPr>
          <w:sz w:val="28"/>
          <w:szCs w:val="28"/>
        </w:rPr>
        <w:t xml:space="preserve"> для финансового обеспечения реализации территориальной программы ОМС в 20</w:t>
      </w:r>
      <w:r>
        <w:rPr>
          <w:sz w:val="28"/>
          <w:szCs w:val="28"/>
          <w:lang w:val="ru-RU"/>
        </w:rPr>
        <w:t xml:space="preserve">22</w:t>
      </w:r>
      <w:r>
        <w:rPr>
          <w:sz w:val="28"/>
          <w:szCs w:val="28"/>
        </w:rPr>
        <w:t xml:space="preserve"> году составил  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350,5 </w:t>
      </w:r>
      <w:r>
        <w:rPr>
          <w:sz w:val="28"/>
          <w:szCs w:val="28"/>
        </w:rPr>
        <w:t xml:space="preserve">млн. руб. или </w:t>
      </w:r>
      <w:r>
        <w:rPr>
          <w:sz w:val="28"/>
          <w:szCs w:val="28"/>
          <w:lang w:val="ru-RU"/>
        </w:rPr>
        <w:t xml:space="preserve">11,7</w:t>
      </w:r>
      <w:r>
        <w:rPr>
          <w:sz w:val="28"/>
          <w:szCs w:val="28"/>
        </w:rPr>
        <w:t xml:space="preserve">%.</w:t>
      </w:r>
      <w:r/>
    </w:p>
    <w:p>
      <w:pPr>
        <w:pStyle w:val="614"/>
        <w:ind w:firstLine="720"/>
        <w:jc w:val="both"/>
        <w:spacing w:after="0"/>
        <w:tabs>
          <w:tab w:val="left" w:pos="72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Кроме того, в целях реализации постановлений Правительства Р</w:t>
      </w:r>
      <w:r>
        <w:rPr>
          <w:sz w:val="28"/>
          <w:szCs w:val="28"/>
          <w:lang w:val="ru-RU"/>
        </w:rPr>
        <w:t xml:space="preserve">оссийской </w:t>
      </w:r>
      <w:r>
        <w:rPr>
          <w:sz w:val="28"/>
          <w:szCs w:val="28"/>
          <w:lang w:val="ru-RU"/>
        </w:rPr>
        <w:t xml:space="preserve">Ф</w:t>
      </w:r>
      <w:r>
        <w:rPr>
          <w:sz w:val="28"/>
          <w:szCs w:val="28"/>
          <w:lang w:val="ru-RU"/>
        </w:rPr>
        <w:t xml:space="preserve">едерации</w:t>
      </w:r>
      <w:r>
        <w:rPr>
          <w:sz w:val="28"/>
          <w:szCs w:val="28"/>
          <w:lang w:val="ru-RU"/>
        </w:rPr>
        <w:t xml:space="preserve"> в доход бюджета </w:t>
      </w:r>
      <w:r>
        <w:rPr>
          <w:sz w:val="28"/>
          <w:szCs w:val="28"/>
          <w:lang w:val="ru-RU"/>
        </w:rPr>
        <w:t xml:space="preserve">ТФОМС Липецкой области</w:t>
      </w:r>
      <w:r>
        <w:rPr>
          <w:sz w:val="28"/>
          <w:szCs w:val="28"/>
          <w:lang w:val="ru-RU"/>
        </w:rPr>
        <w:t xml:space="preserve"> из резервного фонда Правительства </w:t>
      </w:r>
      <w:r>
        <w:rPr>
          <w:sz w:val="28"/>
          <w:szCs w:val="28"/>
          <w:lang w:val="ru-RU"/>
        </w:rPr>
        <w:t xml:space="preserve">Р</w:t>
      </w:r>
      <w:r>
        <w:rPr>
          <w:sz w:val="28"/>
          <w:szCs w:val="28"/>
          <w:lang w:val="ru-RU"/>
        </w:rPr>
        <w:t xml:space="preserve">оссийской </w:t>
      </w:r>
      <w:r>
        <w:rPr>
          <w:sz w:val="28"/>
          <w:szCs w:val="28"/>
          <w:lang w:val="ru-RU"/>
        </w:rPr>
        <w:t xml:space="preserve">Ф</w:t>
      </w:r>
      <w:r>
        <w:rPr>
          <w:sz w:val="28"/>
          <w:szCs w:val="28"/>
          <w:lang w:val="ru-RU"/>
        </w:rPr>
        <w:t xml:space="preserve">едерации</w:t>
      </w:r>
      <w:r>
        <w:rPr>
          <w:sz w:val="28"/>
          <w:szCs w:val="28"/>
          <w:lang w:val="ru-RU"/>
        </w:rPr>
        <w:t xml:space="preserve"> дополнительно поступили средства на дополнительное финансовое обеспечение оказания медицинской помощи с заболеванием и (или) подозрением на заболевание новой коронавирусной инфекцией в первичном звене в размере 48,4 </w:t>
      </w:r>
      <w:r>
        <w:rPr>
          <w:sz w:val="28"/>
          <w:szCs w:val="28"/>
          <w:lang w:val="ru-RU"/>
        </w:rPr>
        <w:t xml:space="preserve">млн</w:t>
      </w:r>
      <w:r>
        <w:rPr>
          <w:sz w:val="28"/>
          <w:szCs w:val="28"/>
          <w:lang w:val="ru-RU"/>
        </w:rPr>
        <w:t xml:space="preserve">.р</w:t>
      </w:r>
      <w:r>
        <w:rPr>
          <w:sz w:val="28"/>
          <w:szCs w:val="28"/>
          <w:lang w:val="ru-RU"/>
        </w:rPr>
        <w:t xml:space="preserve">уб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(дополнительные средства на указанное финансовое обеспечение оказания медицинской помощи с заболеванием и (или) подозрением на заболевание новой </w:t>
      </w:r>
      <w:r>
        <w:rPr>
          <w:sz w:val="28"/>
          <w:szCs w:val="28"/>
          <w:lang w:val="ru-RU"/>
        </w:rPr>
        <w:t xml:space="preserve">коронавирусной</w:t>
      </w:r>
      <w:r>
        <w:rPr>
          <w:sz w:val="28"/>
          <w:szCs w:val="28"/>
          <w:lang w:val="ru-RU"/>
        </w:rPr>
        <w:t xml:space="preserve"> инфекцией в прошлом году за аналогичный период составляли 476,1 </w:t>
      </w:r>
      <w:r>
        <w:rPr>
          <w:sz w:val="28"/>
          <w:szCs w:val="28"/>
          <w:lang w:val="ru-RU"/>
        </w:rPr>
        <w:t xml:space="preserve">млн.руб</w:t>
      </w:r>
      <w:r>
        <w:rPr>
          <w:sz w:val="28"/>
          <w:szCs w:val="28"/>
          <w:lang w:val="ru-RU"/>
        </w:rPr>
        <w:t xml:space="preserve">.).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выполнение территориальной программы ОМС в части оплаты медпомощи за 9 месяцев текущего года страховыми медицинскими организациями направлено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12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126,5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., что составляет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100,0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от утвержденной стоимости программы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105,0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 к аналогичному показателю прошлого года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553,0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млн. руб.), в том числе:</w:t>
      </w:r>
      <w:r/>
    </w:p>
    <w:p>
      <w:pPr>
        <w:pStyle w:val="614"/>
        <w:ind w:firstLine="72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стоимость амбулаторно-поликлинической помощи утверждена в сумме </w:t>
      </w:r>
      <w:r>
        <w:rPr>
          <w:sz w:val="28"/>
          <w:szCs w:val="28"/>
          <w:lang w:val="ru-RU"/>
        </w:rPr>
        <w:t xml:space="preserve">4367,7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млн. руб., фактическое выполнение составило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4341,5 </w:t>
      </w:r>
      <w:r>
        <w:rPr>
          <w:sz w:val="28"/>
          <w:szCs w:val="28"/>
        </w:rPr>
        <w:t xml:space="preserve">млн. руб. или </w:t>
      </w:r>
      <w:r>
        <w:rPr>
          <w:sz w:val="28"/>
          <w:szCs w:val="28"/>
          <w:lang w:val="ru-RU"/>
        </w:rPr>
        <w:t xml:space="preserve">99,4%</w:t>
      </w:r>
      <w:r>
        <w:rPr>
          <w:sz w:val="28"/>
          <w:szCs w:val="28"/>
        </w:rPr>
        <w:t xml:space="preserve"> от утвержденной и </w:t>
      </w:r>
      <w:r>
        <w:rPr>
          <w:sz w:val="28"/>
          <w:szCs w:val="28"/>
          <w:lang w:val="ru-RU"/>
        </w:rPr>
        <w:t xml:space="preserve">113,3</w:t>
      </w:r>
      <w:r>
        <w:rPr>
          <w:sz w:val="28"/>
          <w:szCs w:val="28"/>
        </w:rPr>
        <w:t xml:space="preserve">% к соответствующему показателю прошлого года (</w:t>
      </w:r>
      <w:r>
        <w:rPr>
          <w:sz w:val="28"/>
          <w:szCs w:val="28"/>
          <w:lang w:val="ru-RU"/>
        </w:rPr>
        <w:t xml:space="preserve">3832,9 </w:t>
      </w:r>
      <w:r>
        <w:rPr>
          <w:sz w:val="28"/>
          <w:szCs w:val="28"/>
        </w:rPr>
        <w:t xml:space="preserve">млн.руб</w:t>
      </w:r>
      <w:r>
        <w:rPr>
          <w:sz w:val="28"/>
          <w:szCs w:val="28"/>
        </w:rPr>
        <w:t xml:space="preserve">.)</w:t>
      </w:r>
      <w:r>
        <w:rPr>
          <w:sz w:val="28"/>
          <w:szCs w:val="28"/>
          <w:lang w:val="ru-RU"/>
        </w:rPr>
        <w:t xml:space="preserve">;</w:t>
      </w:r>
      <w:r/>
    </w:p>
    <w:p>
      <w:pPr>
        <w:pStyle w:val="614"/>
        <w:ind w:firstLine="720"/>
        <w:jc w:val="both"/>
        <w:spacing w:after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14"/>
        <w:ind w:firstLine="72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стоимость стационарной помощи утверждена в сумме </w:t>
      </w:r>
      <w:r>
        <w:rPr>
          <w:sz w:val="28"/>
          <w:szCs w:val="28"/>
          <w:lang w:val="ru-RU"/>
        </w:rPr>
        <w:t xml:space="preserve">4997,0</w:t>
      </w:r>
      <w:r>
        <w:rPr>
          <w:sz w:val="28"/>
          <w:szCs w:val="28"/>
        </w:rPr>
        <w:t xml:space="preserve"> млн. руб., фактическое выполнение составило </w:t>
      </w:r>
      <w:r>
        <w:rPr>
          <w:sz w:val="28"/>
          <w:szCs w:val="28"/>
          <w:lang w:val="ru-RU"/>
        </w:rPr>
        <w:t xml:space="preserve">5703,8 </w:t>
      </w:r>
      <w:r>
        <w:rPr>
          <w:sz w:val="28"/>
          <w:szCs w:val="28"/>
        </w:rPr>
        <w:t xml:space="preserve">млн.руб</w:t>
      </w:r>
      <w:r>
        <w:rPr>
          <w:sz w:val="28"/>
          <w:szCs w:val="28"/>
        </w:rPr>
        <w:t xml:space="preserve">. или </w:t>
      </w:r>
      <w:r>
        <w:rPr>
          <w:sz w:val="28"/>
          <w:szCs w:val="28"/>
          <w:lang w:val="ru-RU"/>
        </w:rPr>
        <w:t xml:space="preserve">114,1</w:t>
      </w:r>
      <w:r>
        <w:rPr>
          <w:sz w:val="28"/>
          <w:szCs w:val="28"/>
        </w:rPr>
        <w:t xml:space="preserve">%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от утвержденной и </w:t>
      </w:r>
      <w:r>
        <w:rPr>
          <w:sz w:val="28"/>
          <w:szCs w:val="28"/>
          <w:lang w:val="ru-RU"/>
        </w:rPr>
        <w:t xml:space="preserve">98,4</w:t>
      </w:r>
      <w:r>
        <w:rPr>
          <w:sz w:val="28"/>
          <w:szCs w:val="28"/>
        </w:rPr>
        <w:t xml:space="preserve">% к аналогичному показателю прошлого года (</w:t>
      </w:r>
      <w:r>
        <w:rPr>
          <w:sz w:val="28"/>
          <w:szCs w:val="28"/>
          <w:lang w:val="ru-RU"/>
        </w:rPr>
        <w:t xml:space="preserve">5794,5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млн.руб</w:t>
      </w:r>
      <w:r>
        <w:rPr>
          <w:sz w:val="28"/>
          <w:szCs w:val="28"/>
        </w:rPr>
        <w:t xml:space="preserve">.)</w:t>
      </w:r>
      <w:r>
        <w:rPr>
          <w:sz w:val="28"/>
          <w:szCs w:val="28"/>
          <w:lang w:val="ru-RU"/>
        </w:rPr>
        <w:t xml:space="preserve">;</w:t>
      </w:r>
      <w:r>
        <w:rPr>
          <w:sz w:val="28"/>
          <w:szCs w:val="28"/>
        </w:rPr>
        <w:t xml:space="preserve"> </w:t>
      </w:r>
      <w:r/>
    </w:p>
    <w:p>
      <w:pPr>
        <w:pStyle w:val="614"/>
        <w:ind w:firstLine="72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4"/>
        <w:ind w:firstLine="72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стоимость медицинской помощи в дневных стационарах (без учета ЭКО) утверждена в сумме </w:t>
      </w:r>
      <w:r>
        <w:rPr>
          <w:sz w:val="28"/>
          <w:szCs w:val="28"/>
          <w:lang w:val="ru-RU"/>
        </w:rPr>
        <w:t xml:space="preserve">1246,3</w:t>
      </w:r>
      <w:r>
        <w:rPr>
          <w:sz w:val="28"/>
          <w:szCs w:val="28"/>
        </w:rPr>
        <w:t xml:space="preserve"> млн. руб., фактически выполнено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1299,3 </w:t>
      </w:r>
      <w:r>
        <w:rPr>
          <w:sz w:val="28"/>
          <w:szCs w:val="28"/>
        </w:rPr>
        <w:t xml:space="preserve">млн.руб</w:t>
      </w:r>
      <w:r>
        <w:rPr>
          <w:sz w:val="28"/>
          <w:szCs w:val="28"/>
        </w:rPr>
        <w:t xml:space="preserve">. или </w:t>
      </w:r>
      <w:r>
        <w:rPr>
          <w:sz w:val="28"/>
          <w:szCs w:val="28"/>
          <w:lang w:val="ru-RU"/>
        </w:rPr>
        <w:t xml:space="preserve">104,3</w:t>
      </w:r>
      <w:r>
        <w:rPr>
          <w:sz w:val="28"/>
          <w:szCs w:val="28"/>
        </w:rPr>
        <w:t xml:space="preserve">%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от утвержденной</w:t>
      </w:r>
      <w:r>
        <w:rPr>
          <w:sz w:val="28"/>
          <w:szCs w:val="28"/>
          <w:lang w:val="ru-RU"/>
        </w:rPr>
        <w:t xml:space="preserve"> стоимости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ru-RU"/>
        </w:rPr>
        <w:t xml:space="preserve">109,3</w:t>
      </w:r>
      <w:r>
        <w:rPr>
          <w:sz w:val="28"/>
          <w:szCs w:val="28"/>
          <w:lang w:val="ru-RU"/>
        </w:rPr>
        <w:t xml:space="preserve">% к </w:t>
      </w:r>
      <w:r>
        <w:rPr>
          <w:sz w:val="28"/>
          <w:szCs w:val="28"/>
        </w:rPr>
        <w:t xml:space="preserve">соответствующе</w:t>
      </w:r>
      <w:r>
        <w:rPr>
          <w:sz w:val="28"/>
          <w:szCs w:val="28"/>
          <w:lang w:val="ru-RU"/>
        </w:rPr>
        <w:t xml:space="preserve">му</w:t>
      </w:r>
      <w:r>
        <w:rPr>
          <w:sz w:val="28"/>
          <w:szCs w:val="28"/>
        </w:rPr>
        <w:t xml:space="preserve"> показател</w:t>
      </w:r>
      <w:r>
        <w:rPr>
          <w:sz w:val="28"/>
          <w:szCs w:val="28"/>
          <w:lang w:val="ru-RU"/>
        </w:rPr>
        <w:t xml:space="preserve">ю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 xml:space="preserve">21</w:t>
      </w:r>
      <w:r>
        <w:rPr>
          <w:sz w:val="28"/>
          <w:szCs w:val="28"/>
        </w:rPr>
        <w:t xml:space="preserve"> года (</w:t>
      </w:r>
      <w:r>
        <w:rPr>
          <w:sz w:val="28"/>
          <w:szCs w:val="28"/>
          <w:lang w:val="ru-RU"/>
        </w:rPr>
        <w:t xml:space="preserve">1188,9</w:t>
      </w:r>
      <w:r>
        <w:rPr>
          <w:sz w:val="28"/>
          <w:szCs w:val="28"/>
        </w:rPr>
        <w:t xml:space="preserve"> млн.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руб.)</w:t>
      </w:r>
      <w:r>
        <w:rPr>
          <w:sz w:val="28"/>
          <w:szCs w:val="28"/>
          <w:lang w:val="ru-RU"/>
        </w:rPr>
        <w:t xml:space="preserve">;</w:t>
      </w:r>
      <w:r/>
    </w:p>
    <w:p>
      <w:pPr>
        <w:pStyle w:val="614"/>
        <w:ind w:firstLine="720"/>
        <w:jc w:val="both"/>
        <w:spacing w:after="0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  <w:r/>
    </w:p>
    <w:p>
      <w:pPr>
        <w:pStyle w:val="614"/>
        <w:ind w:firstLine="720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стоимость скорой медицинской помощи утверждена в сумме </w:t>
      </w:r>
      <w:r>
        <w:rPr>
          <w:sz w:val="28"/>
          <w:szCs w:val="28"/>
          <w:lang w:val="ru-RU"/>
        </w:rPr>
        <w:t xml:space="preserve">736,3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млн.руб</w:t>
      </w:r>
      <w:r>
        <w:rPr>
          <w:sz w:val="28"/>
          <w:szCs w:val="28"/>
        </w:rPr>
        <w:t xml:space="preserve">., фактически выполнено </w:t>
      </w:r>
      <w:r>
        <w:rPr>
          <w:sz w:val="28"/>
          <w:szCs w:val="28"/>
          <w:lang w:val="ru-RU"/>
        </w:rPr>
        <w:t xml:space="preserve">-</w:t>
      </w:r>
      <w:r>
        <w:rPr>
          <w:sz w:val="28"/>
          <w:szCs w:val="28"/>
          <w:lang w:val="ru-RU"/>
        </w:rPr>
        <w:t xml:space="preserve"> 744,0 </w:t>
      </w:r>
      <w:r>
        <w:rPr>
          <w:sz w:val="28"/>
          <w:szCs w:val="28"/>
        </w:rPr>
        <w:t xml:space="preserve">млн.руб</w:t>
      </w:r>
      <w:r>
        <w:rPr>
          <w:sz w:val="28"/>
          <w:szCs w:val="28"/>
        </w:rPr>
        <w:t xml:space="preserve">. или </w:t>
      </w:r>
      <w:r>
        <w:rPr>
          <w:sz w:val="28"/>
          <w:szCs w:val="28"/>
          <w:lang w:val="ru-RU"/>
        </w:rPr>
        <w:t xml:space="preserve">101,0</w:t>
      </w:r>
      <w:r>
        <w:rPr>
          <w:sz w:val="28"/>
          <w:szCs w:val="28"/>
        </w:rPr>
        <w:t xml:space="preserve">% от утвержденной и </w:t>
      </w:r>
      <w:r>
        <w:rPr>
          <w:sz w:val="28"/>
          <w:szCs w:val="28"/>
          <w:lang w:val="ru-RU"/>
        </w:rPr>
        <w:t xml:space="preserve">107,0</w:t>
      </w:r>
      <w:r>
        <w:rPr>
          <w:sz w:val="28"/>
          <w:szCs w:val="28"/>
        </w:rPr>
        <w:t xml:space="preserve">% к соответствующему показателю прошлого года (</w:t>
      </w:r>
      <w:r>
        <w:rPr>
          <w:sz w:val="28"/>
          <w:szCs w:val="28"/>
          <w:lang w:val="ru-RU"/>
        </w:rPr>
        <w:t xml:space="preserve">695,3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млн.руб</w:t>
      </w:r>
      <w:r>
        <w:rPr>
          <w:sz w:val="28"/>
          <w:szCs w:val="28"/>
        </w:rPr>
        <w:t xml:space="preserve">.).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Объемы медицинской помощи, установленные Комиссией по разработке территориальной программы ОМС, выполнены: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 стационарной помощи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111,9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на 101,6% от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уровня прошлого года (149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879 случаев в текущем году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147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случаев в прошлом)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 амбулаторно-поликлинической помощи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99,8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106,3% от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уровн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прошлого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673 посещений против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701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417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посещений в прошлый период)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 медицинской помощи, оказанной в дневных стационарах всех типов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91,2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на 107,6% к показателю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прошло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по скорой помощи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90,1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96,8% от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уровня аналогичного показателя прошлого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 w:eastAsia="Times New Roman"/>
          <w:sz w:val="28"/>
          <w:szCs w:val="28"/>
          <w:highlight w:val="yellow"/>
          <w:lang w:eastAsia="ru-RU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Среднедушевой норматив финансирования территориальной программы ОМС сложился по результатам 9 месяцев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 в размере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602,76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руб. на 1 застрахованного жителя области, что составляет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105,0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от утвержденного Программой государственных гарантий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показателя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100,78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руб.) 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10,2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выше показателя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621,40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руб.).</w:t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Стоимость специализированной медицинской помощи, оказанной пациентам со злокачественными новообразованиями (ЗНО) за 9 месяцев  2022 года составила 1642,6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(128% от запланированной суммы - 1287,6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млн.руб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.), в том числе в круглосуточном стационаре - 927,0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млн.руб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., дневном стационаре - 715,6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млн.руб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Средняя стоимость 1 случая специализированного лечения пациентов с ЗНО за отчетный период в целом 64,4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., в круглосуточном стационаре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54,3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тыс.руб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., в дневном стационаре - 84,8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тыс.руб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Стоимость химиотерапии, проведенной пациентам с ЗНО за 9 месяцев  2022 года составила 1266,3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(131% от запланированной суммы - 965,7 млн. руб.), в том числе в круглосуточном стационаре - 609,8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млн.руб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., в дневном стационаре - 656,5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млн.руб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структуре объема оказанной медицинской помощи удельный вес химиотерапии составил 77% (19704 госпитализации), в том числе в круглосуточном стационаре - 72% (12342 госпитализации), в дневном стационаре - 87% (7362 госпитализации).</w:t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диспансеризации взрослого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</w:t>
      </w:r>
      <w:r>
        <w:rPr>
          <w:rFonts w:ascii="Times New Roman" w:hAnsi="Times New Roman" w:cs="Times New Roman"/>
          <w:sz w:val="28"/>
          <w:szCs w:val="28"/>
        </w:rPr>
        <w:t xml:space="preserve"> 9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составил </w:t>
      </w:r>
      <w:r>
        <w:rPr>
          <w:rFonts w:ascii="Times New Roman" w:hAnsi="Times New Roman" w:cs="Times New Roman"/>
          <w:sz w:val="28"/>
          <w:szCs w:val="28"/>
        </w:rPr>
        <w:t xml:space="preserve">205 525</w:t>
      </w:r>
      <w:r>
        <w:rPr>
          <w:rFonts w:ascii="Times New Roman" w:hAnsi="Times New Roman" w:cs="Times New Roman"/>
          <w:sz w:val="28"/>
          <w:szCs w:val="28"/>
        </w:rPr>
        <w:t xml:space="preserve"> человек. Фактически осмотрено в рамках диспансеризации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206 548</w:t>
      </w:r>
      <w:r>
        <w:rPr>
          <w:rFonts w:ascii="Times New Roman" w:hAnsi="Times New Roman" w:cs="Times New Roman"/>
          <w:sz w:val="28"/>
          <w:szCs w:val="28"/>
        </w:rPr>
        <w:t xml:space="preserve"> человек или </w:t>
      </w:r>
      <w:r>
        <w:rPr>
          <w:rFonts w:ascii="Times New Roman" w:hAnsi="Times New Roman" w:cs="Times New Roman"/>
          <w:sz w:val="28"/>
          <w:szCs w:val="28"/>
        </w:rPr>
        <w:t xml:space="preserve">100,5</w:t>
      </w:r>
      <w:r>
        <w:rPr>
          <w:rFonts w:ascii="Times New Roman" w:hAnsi="Times New Roman" w:cs="Times New Roman"/>
          <w:sz w:val="28"/>
          <w:szCs w:val="28"/>
        </w:rPr>
        <w:t xml:space="preserve">% от утвержденного плана. Предъявлено счетов к оплате за проведенную диспансеризацию в рамках 1 и 2 этапа на сумму </w:t>
      </w:r>
      <w:r>
        <w:rPr>
          <w:rFonts w:ascii="Times New Roman" w:hAnsi="Times New Roman" w:cs="Times New Roman"/>
          <w:sz w:val="28"/>
          <w:szCs w:val="28"/>
        </w:rPr>
        <w:t xml:space="preserve">516,0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оплачено </w:t>
      </w:r>
      <w:r>
        <w:rPr>
          <w:rFonts w:ascii="Times New Roman" w:hAnsi="Times New Roman" w:cs="Times New Roman"/>
          <w:sz w:val="28"/>
          <w:szCs w:val="28"/>
        </w:rPr>
        <w:t xml:space="preserve">514,8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профилактических медицинских осмотров взрослого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на 9 месяцев 2022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80723</w:t>
      </w:r>
      <w:r>
        <w:rPr>
          <w:rFonts w:ascii="Times New Roman" w:hAnsi="Times New Roman" w:cs="Times New Roman"/>
          <w:sz w:val="28"/>
          <w:szCs w:val="28"/>
        </w:rPr>
        <w:t xml:space="preserve"> человека. Фактически осмотрено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67096</w:t>
      </w:r>
      <w:r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>
        <w:rPr>
          <w:rFonts w:ascii="Times New Roman" w:hAnsi="Times New Roman" w:cs="Times New Roman"/>
          <w:sz w:val="28"/>
          <w:szCs w:val="28"/>
        </w:rPr>
        <w:t xml:space="preserve">99,4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83,1</w:t>
      </w:r>
      <w:r>
        <w:rPr>
          <w:rFonts w:ascii="Times New Roman" w:hAnsi="Times New Roman" w:cs="Times New Roman"/>
          <w:sz w:val="28"/>
          <w:szCs w:val="28"/>
        </w:rPr>
        <w:t xml:space="preserve">% от утвержденного плана.</w:t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профилактических медицинских осмотров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на 9 месяцев 2022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160 517</w:t>
      </w:r>
      <w:r>
        <w:rPr>
          <w:rFonts w:ascii="Times New Roman" w:hAnsi="Times New Roman" w:cs="Times New Roman"/>
          <w:sz w:val="28"/>
          <w:szCs w:val="28"/>
        </w:rPr>
        <w:t xml:space="preserve"> человек. Фактически осмотрено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79 683</w:t>
      </w:r>
      <w:r>
        <w:rPr>
          <w:rFonts w:ascii="Times New Roman" w:hAnsi="Times New Roman" w:cs="Times New Roman"/>
          <w:sz w:val="28"/>
          <w:szCs w:val="28"/>
        </w:rPr>
        <w:t xml:space="preserve"> человека на сумму </w:t>
      </w:r>
      <w:r>
        <w:rPr>
          <w:rFonts w:ascii="Times New Roman" w:hAnsi="Times New Roman" w:cs="Times New Roman"/>
          <w:sz w:val="28"/>
          <w:szCs w:val="28"/>
        </w:rPr>
        <w:t xml:space="preserve">207,6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49,6</w:t>
      </w:r>
      <w:r>
        <w:rPr>
          <w:rFonts w:ascii="Times New Roman" w:hAnsi="Times New Roman" w:cs="Times New Roman"/>
          <w:sz w:val="28"/>
          <w:szCs w:val="28"/>
        </w:rPr>
        <w:t xml:space="preserve">% от утвержденного плана. </w:t>
      </w:r>
      <w:r/>
    </w:p>
    <w:p>
      <w:pPr>
        <w:pStyle w:val="622"/>
        <w:ind w:firstLine="709"/>
        <w:jc w:val="both"/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диспансеризации детей-</w:t>
      </w:r>
      <w:r>
        <w:rPr>
          <w:rFonts w:ascii="Times New Roman" w:hAnsi="Times New Roman" w:cs="Times New Roman"/>
          <w:sz w:val="28"/>
          <w:szCs w:val="28"/>
        </w:rPr>
        <w:t xml:space="preserve">сирот, усыновленных и принятых под опеку </w:t>
      </w:r>
      <w:r>
        <w:rPr>
          <w:rFonts w:ascii="Times New Roman" w:hAnsi="Times New Roman" w:cs="Times New Roman"/>
          <w:sz w:val="28"/>
          <w:szCs w:val="28"/>
        </w:rPr>
        <w:t xml:space="preserve">на 9 месяцев 2022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1237</w:t>
      </w:r>
      <w:r>
        <w:rPr>
          <w:rFonts w:ascii="Times New Roman" w:hAnsi="Times New Roman" w:cs="Times New Roman"/>
          <w:sz w:val="28"/>
          <w:szCs w:val="28"/>
        </w:rPr>
        <w:t xml:space="preserve"> человек. Фактически осмотрено </w:t>
      </w:r>
      <w:r>
        <w:rPr>
          <w:rFonts w:ascii="Times New Roman" w:hAnsi="Times New Roman" w:cs="Times New Roman"/>
          <w:sz w:val="28"/>
          <w:szCs w:val="28"/>
        </w:rPr>
        <w:t xml:space="preserve">1013</w:t>
      </w:r>
      <w:r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>
        <w:rPr>
          <w:rFonts w:ascii="Times New Roman" w:hAnsi="Times New Roman" w:cs="Times New Roman"/>
          <w:sz w:val="28"/>
          <w:szCs w:val="28"/>
        </w:rPr>
        <w:t xml:space="preserve">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81,9</w:t>
      </w:r>
      <w:r>
        <w:rPr>
          <w:rFonts w:ascii="Times New Roman" w:hAnsi="Times New Roman" w:cs="Times New Roman"/>
          <w:sz w:val="28"/>
          <w:szCs w:val="28"/>
        </w:rPr>
        <w:t xml:space="preserve">% от утвержденного плана.</w:t>
      </w:r>
      <w:r/>
    </w:p>
    <w:p>
      <w:pPr>
        <w:pStyle w:val="622"/>
        <w:ind w:firstLine="709"/>
        <w:jc w:val="both"/>
        <w:spacing w:line="240" w:lineRule="atLeast"/>
        <w:tabs>
          <w:tab w:val="left" w:pos="639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диспансеризации детей-</w:t>
      </w:r>
      <w:r>
        <w:rPr>
          <w:rFonts w:ascii="Times New Roman" w:hAnsi="Times New Roman" w:cs="Times New Roman"/>
          <w:sz w:val="28"/>
          <w:szCs w:val="28"/>
        </w:rPr>
        <w:t xml:space="preserve">сирот, пребывающих в стационарных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на 9 месяцев 2022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75</w:t>
      </w:r>
      <w:r>
        <w:rPr>
          <w:rFonts w:ascii="Times New Roman" w:hAnsi="Times New Roman" w:cs="Times New Roman"/>
          <w:sz w:val="28"/>
          <w:szCs w:val="28"/>
        </w:rPr>
        <w:t xml:space="preserve"> человек. Фактически осмотрено </w:t>
      </w:r>
      <w:r>
        <w:rPr>
          <w:rFonts w:ascii="Times New Roman" w:hAnsi="Times New Roman" w:cs="Times New Roman"/>
          <w:sz w:val="28"/>
          <w:szCs w:val="28"/>
        </w:rPr>
        <w:t xml:space="preserve">441</w:t>
      </w:r>
      <w:r>
        <w:rPr>
          <w:rFonts w:ascii="Times New Roman" w:hAnsi="Times New Roman" w:cs="Times New Roman"/>
          <w:sz w:val="28"/>
          <w:szCs w:val="28"/>
        </w:rPr>
        <w:t xml:space="preserve"> человек на сумму </w:t>
      </w:r>
      <w:r>
        <w:rPr>
          <w:rFonts w:ascii="Times New Roman" w:hAnsi="Times New Roman" w:cs="Times New Roman"/>
          <w:sz w:val="28"/>
          <w:szCs w:val="28"/>
        </w:rPr>
        <w:t xml:space="preserve">1,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млн. руб., что составило </w:t>
      </w:r>
      <w:r>
        <w:rPr>
          <w:rFonts w:ascii="Times New Roman" w:hAnsi="Times New Roman" w:cs="Times New Roman"/>
          <w:sz w:val="28"/>
          <w:szCs w:val="28"/>
        </w:rPr>
        <w:t xml:space="preserve">56,9</w:t>
      </w:r>
      <w:r>
        <w:rPr>
          <w:rFonts w:ascii="Times New Roman" w:hAnsi="Times New Roman" w:cs="Times New Roman"/>
          <w:sz w:val="28"/>
          <w:szCs w:val="28"/>
        </w:rPr>
        <w:t xml:space="preserve">% от утвержденного плана.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Число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пациентов, подлежащих диспансерному наблюдению за отчетный период составило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178 120 человек. Прошли диспансерное наблюдение 113 274 человека или 64% от планового показателя. Всего оплачено реестров счетов в рамках диспансерного наблюдения за 9 месяцев 2022 года  на сумму 36,9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9 месяцев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года в медицинских организациях 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ипецк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области было пролечено 19 082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городних пациентов на сумму 316,8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Согласно, предъявленным медицинскими организациями Липецкой области счетам и реестрам, иногородним пациентам оказана медицинская помощь по следующим основным профилям:</w:t>
      </w:r>
      <w:r/>
    </w:p>
    <w:p>
      <w:pPr>
        <w:pStyle w:val="616"/>
        <w:ind w:left="0" w:firstLine="708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акушерство и гинекология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2 582 случая на сумму 18,5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ЭКО - 29 случаев на сумму 2,1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офтальмология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7 463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125,6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онкология - 936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на 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хими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отерапия - 323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21,7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кардиология - 701 случай на сумму 13,4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инфекционные болезни - 477 случаев на сумму 14,6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неврология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1 521 случай на сумму 12,7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рдечно-сосудистая хирургия - 154 случая на сумму 5,8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травматология и ортопедия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1 807 случаев на сумму 9,2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  <w:r/>
    </w:p>
    <w:p>
      <w:pPr>
        <w:pStyle w:val="614"/>
        <w:ind w:firstLine="709"/>
        <w:jc w:val="both"/>
        <w:spacing w:after="0" w:line="240" w:lineRule="atLeast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</w:rPr>
        <w:t xml:space="preserve">В медицинских организациях</w:t>
      </w:r>
      <w:r>
        <w:rPr>
          <w:color w:val="000000" w:themeColor="text1"/>
          <w:sz w:val="28"/>
          <w:szCs w:val="28"/>
          <w:lang w:val="ru-RU"/>
        </w:rPr>
        <w:t xml:space="preserve">, расположенных на территориях</w:t>
      </w:r>
      <w:r>
        <w:rPr>
          <w:color w:val="000000" w:themeColor="text1"/>
          <w:sz w:val="28"/>
          <w:szCs w:val="28"/>
        </w:rPr>
        <w:t xml:space="preserve"> других </w:t>
      </w:r>
      <w:r>
        <w:rPr>
          <w:color w:val="000000" w:themeColor="text1"/>
          <w:sz w:val="28"/>
          <w:szCs w:val="28"/>
          <w:lang w:val="ru-RU"/>
        </w:rPr>
        <w:t xml:space="preserve">субъектов Российской Федерации </w:t>
      </w:r>
      <w:r>
        <w:rPr>
          <w:color w:val="000000" w:themeColor="text1"/>
          <w:sz w:val="28"/>
          <w:szCs w:val="28"/>
          <w:lang w:val="ru-RU"/>
        </w:rPr>
        <w:t xml:space="preserve">за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9 месяцев</w:t>
      </w:r>
      <w:r>
        <w:rPr>
          <w:color w:val="000000" w:themeColor="text1"/>
          <w:sz w:val="28"/>
          <w:szCs w:val="28"/>
        </w:rPr>
        <w:t xml:space="preserve"> 2022 года получили медицинскую помощь </w:t>
      </w:r>
      <w:r>
        <w:rPr>
          <w:color w:val="000000" w:themeColor="text1"/>
          <w:sz w:val="28"/>
          <w:szCs w:val="28"/>
          <w:lang w:val="ru-RU"/>
        </w:rPr>
        <w:t xml:space="preserve">19 836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пациент</w:t>
      </w:r>
      <w:r>
        <w:rPr>
          <w:color w:val="000000" w:themeColor="text1"/>
          <w:sz w:val="28"/>
          <w:szCs w:val="28"/>
          <w:lang w:val="ru-RU"/>
        </w:rPr>
        <w:t xml:space="preserve">ов</w:t>
      </w:r>
      <w:r>
        <w:rPr>
          <w:color w:val="000000" w:themeColor="text1"/>
          <w:sz w:val="28"/>
          <w:szCs w:val="28"/>
          <w:lang w:val="ru-RU"/>
        </w:rPr>
        <w:t xml:space="preserve">,</w:t>
      </w:r>
      <w:r>
        <w:rPr>
          <w:color w:val="000000" w:themeColor="text1"/>
          <w:sz w:val="28"/>
          <w:szCs w:val="28"/>
        </w:rPr>
        <w:t xml:space="preserve"> застрахованны</w:t>
      </w:r>
      <w:r>
        <w:rPr>
          <w:color w:val="000000" w:themeColor="text1"/>
          <w:sz w:val="28"/>
          <w:szCs w:val="28"/>
          <w:lang w:val="ru-RU"/>
        </w:rPr>
        <w:t xml:space="preserve">х на территории</w:t>
      </w:r>
      <w:r>
        <w:rPr>
          <w:color w:val="000000" w:themeColor="text1"/>
          <w:sz w:val="28"/>
          <w:szCs w:val="28"/>
        </w:rPr>
        <w:t xml:space="preserve"> Липецкой области. Сумм</w:t>
      </w:r>
      <w:r>
        <w:rPr>
          <w:color w:val="000000" w:themeColor="text1"/>
          <w:sz w:val="28"/>
          <w:szCs w:val="28"/>
          <w:lang w:val="ru-RU"/>
        </w:rPr>
        <w:t xml:space="preserve">а</w:t>
      </w:r>
      <w:r>
        <w:rPr>
          <w:color w:val="000000" w:themeColor="text1"/>
          <w:sz w:val="28"/>
          <w:szCs w:val="28"/>
        </w:rPr>
        <w:t xml:space="preserve"> оплаты оказанной медицинской помощи составила </w:t>
      </w:r>
      <w:r>
        <w:rPr>
          <w:color w:val="000000" w:themeColor="text1"/>
          <w:sz w:val="28"/>
          <w:szCs w:val="28"/>
          <w:lang w:val="ru-RU"/>
        </w:rPr>
        <w:t xml:space="preserve">410</w:t>
      </w:r>
      <w:r>
        <w:rPr>
          <w:color w:val="000000" w:themeColor="text1"/>
          <w:sz w:val="28"/>
          <w:szCs w:val="28"/>
          <w:lang w:val="ru-RU"/>
        </w:rPr>
        <w:t xml:space="preserve">,5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млн.руб</w:t>
      </w:r>
      <w:r>
        <w:rPr>
          <w:color w:val="000000" w:themeColor="text1"/>
          <w:sz w:val="28"/>
          <w:szCs w:val="28"/>
        </w:rPr>
        <w:t xml:space="preserve">.</w:t>
      </w:r>
      <w:r>
        <w:rPr>
          <w:color w:val="000000" w:themeColor="text1"/>
          <w:sz w:val="28"/>
          <w:szCs w:val="28"/>
          <w:lang w:val="ru-RU"/>
        </w:rPr>
        <w:t xml:space="preserve">,</w:t>
      </w:r>
      <w:r>
        <w:rPr>
          <w:color w:val="000000" w:themeColor="text1"/>
          <w:sz w:val="28"/>
          <w:szCs w:val="28"/>
        </w:rPr>
        <w:t xml:space="preserve"> в том числе по </w:t>
      </w:r>
      <w:r>
        <w:rPr>
          <w:color w:val="000000" w:themeColor="text1"/>
          <w:sz w:val="28"/>
          <w:szCs w:val="28"/>
          <w:lang w:val="ru-RU"/>
        </w:rPr>
        <w:t xml:space="preserve">высокотехнологичной медицинской помощи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-</w:t>
      </w:r>
      <w:r>
        <w:rPr>
          <w:color w:val="000000" w:themeColor="text1"/>
          <w:sz w:val="28"/>
          <w:szCs w:val="28"/>
          <w:lang w:val="ru-RU"/>
        </w:rPr>
        <w:t xml:space="preserve"> 61,1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млн.руб</w:t>
      </w:r>
      <w:r>
        <w:rPr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предъявленным, 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рриториальными фондами ОМС других субъектов Российской Федерации, счетам и реестрам за оказанную медицинскую помощь пациентам, застрахованным на территории Липецкой области, за отчетный период медицинская помощь была оказана по следующим основным профилям:</w:t>
      </w:r>
      <w:r/>
    </w:p>
    <w:p>
      <w:pPr>
        <w:pStyle w:val="616"/>
        <w:ind w:left="0" w:firstLine="708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акушерство и гинекология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2 124 случая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сумму 20,9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ЭКО - 26 случая на сумму 2,8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руб.);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офтальмология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2 852 случая на сумму 15,1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онкология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4 779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учаев на сумму 115,6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(в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 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химиотерапия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378 случаев на сумму 80,9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руб.);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кардиология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975 случа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15,3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инфекционные болезни - 699 случаев на сумму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неврология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1 127 случаев на сумму 9,7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рдечно-сосудистая хирургия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309 случаев на сумму 17,1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.;</w:t>
      </w:r>
      <w:r/>
    </w:p>
    <w:p>
      <w:pPr>
        <w:pStyle w:val="616"/>
        <w:ind w:left="709"/>
        <w:jc w:val="both"/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травматология и ортопедия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2 111 случаев на сумму 44,6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Расходы медицинских организаций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9 месяцев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2022 года составили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830,3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млн. руб., что выше показателя прошлого года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15,5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или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584,6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млн. руб.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245,7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.), в том числе: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- на оплату труда с начислениями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7507,4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., что составляет 11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2,3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от уровня прошлого года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6686,3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млн. руб.);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- оплата за медикаменты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2642,9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или с ростом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24,3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к уровню прошлого года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2125,9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млн. руб.);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- оплата за продукты питания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55,8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., что выше показателя прошлого года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17,8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132,3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млн. руб.);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оплата коммунальных услуг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347,3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млн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., что выше уровня прошлого года на 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1,1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312,5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млн.руб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.).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Таким образом, наибольшую долю в структуре расходов занимают расходы на заработную плату с начислениями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3,5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%, при этом темпы роста в сравнении с предыдущим периодом расходов на приобретение медикаментов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продуктов питания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(соответственно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24,3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17,8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%)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превышают темпы роста по другим статьям расходов, в том числе и расходов на заработную плату с начислениями.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заработная плата работников государственных медицинских организаций Липецкой области в системе ОМС составила 3</w:t>
      </w:r>
      <w:r>
        <w:rPr>
          <w:rFonts w:ascii="Times New Roman" w:hAnsi="Times New Roman" w:cs="Times New Roman"/>
          <w:sz w:val="28"/>
          <w:szCs w:val="28"/>
        </w:rPr>
        <w:t xml:space="preserve">5,4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что на </w:t>
      </w:r>
      <w:r>
        <w:rPr>
          <w:rFonts w:ascii="Times New Roman" w:hAnsi="Times New Roman" w:cs="Times New Roman"/>
          <w:sz w:val="28"/>
          <w:szCs w:val="28"/>
        </w:rPr>
        <w:t xml:space="preserve">13,2</w:t>
      </w:r>
      <w:r>
        <w:rPr>
          <w:rFonts w:ascii="Times New Roman" w:hAnsi="Times New Roman" w:cs="Times New Roman"/>
          <w:sz w:val="28"/>
          <w:szCs w:val="28"/>
        </w:rPr>
        <w:t xml:space="preserve">% выше аналогичного показателя прошлого года (3</w:t>
      </w:r>
      <w:r>
        <w:rPr>
          <w:rFonts w:ascii="Times New Roman" w:hAnsi="Times New Roman" w:cs="Times New Roman"/>
          <w:sz w:val="28"/>
          <w:szCs w:val="28"/>
        </w:rPr>
        <w:t xml:space="preserve">1,</w:t>
      </w:r>
      <w:r>
        <w:rPr>
          <w:rFonts w:ascii="Times New Roman" w:hAnsi="Times New Roman" w:cs="Times New Roman"/>
          <w:sz w:val="28"/>
          <w:szCs w:val="28"/>
        </w:rPr>
        <w:t xml:space="preserve"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тыс.руб</w:t>
      </w:r>
      <w:r>
        <w:rPr>
          <w:rFonts w:ascii="Times New Roman" w:hAnsi="Times New Roman" w:cs="Times New Roman"/>
          <w:sz w:val="28"/>
          <w:szCs w:val="28"/>
        </w:rPr>
        <w:t xml:space="preserve">.) в том числе: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амбулаторно-поликлиническому звену средняя зарплата медицинских работников по сравнению с прошлым годом возросла на </w:t>
      </w:r>
      <w:r>
        <w:rPr>
          <w:rFonts w:ascii="Times New Roman" w:hAnsi="Times New Roman" w:cs="Times New Roman"/>
          <w:sz w:val="28"/>
          <w:szCs w:val="28"/>
        </w:rPr>
        <w:t xml:space="preserve">16,6</w:t>
      </w:r>
      <w:r>
        <w:rPr>
          <w:rFonts w:ascii="Times New Roman" w:hAnsi="Times New Roman" w:cs="Times New Roman"/>
          <w:sz w:val="28"/>
          <w:szCs w:val="28"/>
        </w:rPr>
        <w:t xml:space="preserve"> % и составила 3</w:t>
      </w:r>
      <w:r>
        <w:rPr>
          <w:rFonts w:ascii="Times New Roman" w:hAnsi="Times New Roman" w:cs="Times New Roman"/>
          <w:sz w:val="28"/>
          <w:szCs w:val="28"/>
        </w:rPr>
        <w:t xml:space="preserve">7,</w:t>
      </w:r>
      <w:r>
        <w:rPr>
          <w:rFonts w:ascii="Times New Roman" w:hAnsi="Times New Roman" w:cs="Times New Roman"/>
          <w:sz w:val="28"/>
          <w:szCs w:val="28"/>
        </w:rPr>
        <w:t xml:space="preserve">34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>
        <w:rPr>
          <w:rFonts w:ascii="Times New Roman" w:hAnsi="Times New Roman" w:cs="Times New Roman"/>
          <w:sz w:val="28"/>
          <w:szCs w:val="28"/>
        </w:rPr>
        <w:t xml:space="preserve">9 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3,</w:t>
      </w:r>
      <w:r>
        <w:rPr>
          <w:rFonts w:ascii="Times New Roman" w:hAnsi="Times New Roman" w:cs="Times New Roman"/>
          <w:sz w:val="28"/>
          <w:szCs w:val="28"/>
        </w:rPr>
        <w:t xml:space="preserve"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.);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стационарном звене рост средней зарплаты медицинских работников составил 14,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% - 4</w:t>
      </w:r>
      <w:r>
        <w:rPr>
          <w:rFonts w:ascii="Times New Roman" w:hAnsi="Times New Roman" w:cs="Times New Roman"/>
          <w:sz w:val="28"/>
          <w:szCs w:val="28"/>
        </w:rPr>
        <w:t xml:space="preserve">6,</w:t>
      </w:r>
      <w:r>
        <w:rPr>
          <w:rFonts w:ascii="Times New Roman" w:hAnsi="Times New Roman" w:cs="Times New Roman"/>
          <w:sz w:val="28"/>
          <w:szCs w:val="28"/>
        </w:rPr>
        <w:t xml:space="preserve"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 (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2021 год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40,3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тыс. руб.); 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подразделениях скорой помощи средняя зарплата медицинских работников из средств ОМС </w:t>
      </w:r>
      <w:r>
        <w:rPr>
          <w:rFonts w:ascii="Times New Roman" w:hAnsi="Times New Roman" w:cs="Times New Roman"/>
          <w:sz w:val="28"/>
          <w:szCs w:val="28"/>
        </w:rPr>
        <w:t xml:space="preserve">составила 38,73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рост составил </w:t>
      </w:r>
      <w:r>
        <w:rPr>
          <w:rFonts w:ascii="Times New Roman" w:hAnsi="Times New Roman" w:cs="Times New Roman"/>
          <w:sz w:val="28"/>
          <w:szCs w:val="28"/>
        </w:rPr>
        <w:t xml:space="preserve">5,9</w:t>
      </w:r>
      <w:r>
        <w:rPr>
          <w:rFonts w:ascii="Times New Roman" w:hAnsi="Times New Roman" w:cs="Times New Roman"/>
          <w:sz w:val="28"/>
          <w:szCs w:val="28"/>
        </w:rPr>
        <w:t xml:space="preserve"> % (</w:t>
      </w:r>
      <w:r>
        <w:rPr>
          <w:rFonts w:ascii="Times New Roman" w:hAnsi="Times New Roman" w:cs="Times New Roman"/>
          <w:sz w:val="28"/>
          <w:szCs w:val="28"/>
        </w:rPr>
        <w:t xml:space="preserve">9 месяцев</w:t>
      </w:r>
      <w:r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36,58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средняя заработная плата по категориям персонала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периодом прошлого года </w:t>
      </w:r>
      <w:r>
        <w:rPr>
          <w:rFonts w:ascii="Times New Roman" w:hAnsi="Times New Roman" w:cs="Times New Roman"/>
          <w:sz w:val="28"/>
          <w:szCs w:val="28"/>
        </w:rPr>
        <w:t xml:space="preserve">сложилась следующим образом</w:t>
      </w:r>
      <w:r>
        <w:rPr>
          <w:rFonts w:ascii="Times New Roman" w:hAnsi="Times New Roman" w:eastAsia="Calibri" w:cs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по врачебным кадрам средняя зарплата увеличилась на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14,</w:t>
      </w:r>
      <w:r>
        <w:rPr>
          <w:rFonts w:ascii="Times New Roman" w:hAnsi="Times New Roman" w:eastAsia="Calibri" w:cs="Times New Roman"/>
          <w:sz w:val="28"/>
          <w:szCs w:val="28"/>
        </w:rPr>
        <w:t xml:space="preserve">6</w:t>
      </w:r>
      <w:r>
        <w:rPr>
          <w:rFonts w:ascii="Times New Roman" w:hAnsi="Times New Roman" w:eastAsia="Calibri" w:cs="Times New Roman"/>
          <w:sz w:val="28"/>
          <w:szCs w:val="28"/>
        </w:rPr>
        <w:t xml:space="preserve">% и составила 6</w:t>
      </w:r>
      <w:r>
        <w:rPr>
          <w:rFonts w:ascii="Times New Roman" w:hAnsi="Times New Roman" w:eastAsia="Calibri" w:cs="Times New Roman"/>
          <w:sz w:val="28"/>
          <w:szCs w:val="28"/>
        </w:rPr>
        <w:t xml:space="preserve">6,4</w:t>
      </w:r>
      <w:r>
        <w:rPr>
          <w:rFonts w:ascii="Times New Roman" w:hAnsi="Times New Roman" w:eastAsia="Calibri" w:cs="Times New Roman"/>
          <w:sz w:val="28"/>
          <w:szCs w:val="28"/>
        </w:rPr>
        <w:t xml:space="preserve">1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р</w:t>
      </w:r>
      <w:r>
        <w:rPr>
          <w:rFonts w:ascii="Times New Roman" w:hAnsi="Times New Roman" w:eastAsia="Calibri" w:cs="Times New Roman"/>
          <w:sz w:val="28"/>
          <w:szCs w:val="28"/>
        </w:rPr>
        <w:t xml:space="preserve">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(5</w:t>
      </w:r>
      <w:r>
        <w:rPr>
          <w:rFonts w:ascii="Times New Roman" w:hAnsi="Times New Roman" w:eastAsia="Calibri" w:cs="Times New Roman"/>
          <w:sz w:val="28"/>
          <w:szCs w:val="28"/>
        </w:rPr>
        <w:t xml:space="preserve">7,9</w:t>
      </w:r>
      <w:r>
        <w:rPr>
          <w:rFonts w:ascii="Times New Roman" w:hAnsi="Times New Roman" w:eastAsia="Calibri" w:cs="Times New Roman"/>
          <w:sz w:val="28"/>
          <w:szCs w:val="28"/>
        </w:rPr>
        <w:t xml:space="preserve">7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руб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2021 года)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по среднему медперсоналу рост средней зарплаты составил 12,</w:t>
      </w:r>
      <w:r>
        <w:rPr>
          <w:rFonts w:ascii="Times New Roman" w:hAnsi="Times New Roman" w:eastAsia="Calibri" w:cs="Times New Roman"/>
          <w:sz w:val="28"/>
          <w:szCs w:val="28"/>
        </w:rPr>
        <w:t xml:space="preserve">1</w:t>
      </w:r>
      <w:r>
        <w:rPr>
          <w:rFonts w:ascii="Times New Roman" w:hAnsi="Times New Roman" w:eastAsia="Calibri" w:cs="Times New Roman"/>
          <w:sz w:val="28"/>
          <w:szCs w:val="28"/>
        </w:rPr>
        <w:t xml:space="preserve"> % - 3</w:t>
      </w:r>
      <w:r>
        <w:rPr>
          <w:rFonts w:ascii="Times New Roman" w:hAnsi="Times New Roman" w:eastAsia="Calibri" w:cs="Times New Roman"/>
          <w:sz w:val="28"/>
          <w:szCs w:val="28"/>
        </w:rPr>
        <w:t xml:space="preserve">4,</w:t>
      </w:r>
      <w:r>
        <w:rPr>
          <w:rFonts w:ascii="Times New Roman" w:hAnsi="Times New Roman" w:eastAsia="Calibri" w:cs="Times New Roman"/>
          <w:sz w:val="28"/>
          <w:szCs w:val="28"/>
        </w:rPr>
        <w:t xml:space="preserve">62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р</w:t>
      </w:r>
      <w:r>
        <w:rPr>
          <w:rFonts w:ascii="Times New Roman" w:hAnsi="Times New Roman" w:eastAsia="Calibri" w:cs="Times New Roman"/>
          <w:sz w:val="28"/>
          <w:szCs w:val="28"/>
        </w:rPr>
        <w:t xml:space="preserve">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30,88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руб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2021 года)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по младшему медицинскому персоналу средняя зарплата увеличилась на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14,8</w:t>
      </w:r>
      <w:r>
        <w:rPr>
          <w:rFonts w:ascii="Times New Roman" w:hAnsi="Times New Roman" w:eastAsia="Calibri" w:cs="Times New Roman"/>
          <w:sz w:val="28"/>
          <w:szCs w:val="28"/>
        </w:rPr>
        <w:t xml:space="preserve">% и составила 3</w:t>
      </w:r>
      <w:r>
        <w:rPr>
          <w:rFonts w:ascii="Times New Roman" w:hAnsi="Times New Roman" w:eastAsia="Calibri" w:cs="Times New Roman"/>
          <w:sz w:val="28"/>
          <w:szCs w:val="28"/>
        </w:rPr>
        <w:t xml:space="preserve">2,</w:t>
      </w:r>
      <w:r>
        <w:rPr>
          <w:rFonts w:ascii="Times New Roman" w:hAnsi="Times New Roman" w:eastAsia="Calibri" w:cs="Times New Roman"/>
          <w:sz w:val="28"/>
          <w:szCs w:val="28"/>
        </w:rPr>
        <w:t xml:space="preserve">12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р</w:t>
      </w:r>
      <w:r>
        <w:rPr>
          <w:rFonts w:ascii="Times New Roman" w:hAnsi="Times New Roman" w:eastAsia="Calibri" w:cs="Times New Roman"/>
          <w:sz w:val="28"/>
          <w:szCs w:val="28"/>
        </w:rPr>
        <w:t xml:space="preserve">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27,99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руб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2021 года)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по прочему персоналу рост средней зарплаты составил </w:t>
      </w:r>
      <w:r>
        <w:rPr>
          <w:rFonts w:ascii="Times New Roman" w:hAnsi="Times New Roman" w:eastAsia="Calibri" w:cs="Times New Roman"/>
          <w:sz w:val="28"/>
          <w:szCs w:val="28"/>
        </w:rPr>
        <w:t xml:space="preserve">14,2</w:t>
      </w:r>
      <w:r>
        <w:rPr>
          <w:rFonts w:ascii="Times New Roman" w:hAnsi="Times New Roman" w:eastAsia="Calibri" w:cs="Times New Roman"/>
          <w:sz w:val="28"/>
          <w:szCs w:val="28"/>
        </w:rPr>
        <w:t xml:space="preserve">% - 2</w:t>
      </w:r>
      <w:r>
        <w:rPr>
          <w:rFonts w:ascii="Times New Roman" w:hAnsi="Times New Roman" w:eastAsia="Calibri" w:cs="Times New Roman"/>
          <w:sz w:val="28"/>
          <w:szCs w:val="28"/>
        </w:rPr>
        <w:t xml:space="preserve">2,5</w:t>
      </w:r>
      <w:r>
        <w:rPr>
          <w:rFonts w:ascii="Times New Roman" w:hAnsi="Times New Roman" w:eastAsia="Calibri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р</w:t>
      </w:r>
      <w:r>
        <w:rPr>
          <w:rFonts w:ascii="Times New Roman" w:hAnsi="Times New Roman" w:eastAsia="Calibri" w:cs="Times New Roman"/>
          <w:sz w:val="28"/>
          <w:szCs w:val="28"/>
        </w:rPr>
        <w:t xml:space="preserve">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(19,</w:t>
      </w:r>
      <w:r>
        <w:rPr>
          <w:rFonts w:ascii="Times New Roman" w:hAnsi="Times New Roman" w:cs="Times New Roman"/>
          <w:sz w:val="28"/>
          <w:szCs w:val="28"/>
        </w:rPr>
        <w:t xml:space="preserve">72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руб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 </w:t>
      </w:r>
      <w:r>
        <w:rPr>
          <w:rFonts w:ascii="Times New Roman" w:hAnsi="Times New Roman" w:eastAsia="Calibri" w:cs="Times New Roman"/>
          <w:sz w:val="28"/>
          <w:szCs w:val="28"/>
        </w:rPr>
        <w:t xml:space="preserve"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2021 года)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- по АУП средняя зарплата увеличилась на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8,4</w:t>
      </w:r>
      <w:r>
        <w:rPr>
          <w:rFonts w:ascii="Times New Roman" w:hAnsi="Times New Roman" w:eastAsia="Calibri" w:cs="Times New Roman"/>
          <w:sz w:val="28"/>
          <w:szCs w:val="28"/>
        </w:rPr>
        <w:t xml:space="preserve"> % и составила </w:t>
      </w:r>
      <w:r>
        <w:rPr>
          <w:rFonts w:ascii="Times New Roman" w:hAnsi="Times New Roman" w:eastAsia="Calibri" w:cs="Times New Roman"/>
          <w:sz w:val="28"/>
          <w:szCs w:val="28"/>
        </w:rPr>
        <w:t xml:space="preserve">57,90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руб. (</w:t>
      </w:r>
      <w:r>
        <w:rPr>
          <w:rFonts w:ascii="Times New Roman" w:hAnsi="Times New Roman" w:eastAsia="Calibri" w:cs="Times New Roman"/>
          <w:sz w:val="28"/>
          <w:szCs w:val="28"/>
        </w:rPr>
        <w:t xml:space="preserve">53,</w:t>
      </w:r>
      <w:r>
        <w:rPr>
          <w:rFonts w:ascii="Times New Roman" w:hAnsi="Times New Roman" w:eastAsia="Calibri" w:cs="Times New Roman"/>
          <w:sz w:val="28"/>
          <w:szCs w:val="28"/>
        </w:rPr>
        <w:t xml:space="preserve">37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</w:t>
      </w:r>
      <w:r>
        <w:rPr>
          <w:rFonts w:ascii="Times New Roman" w:hAnsi="Times New Roman" w:eastAsia="Calibri" w:cs="Times New Roman"/>
          <w:sz w:val="28"/>
          <w:szCs w:val="28"/>
        </w:rPr>
        <w:t xml:space="preserve"> руб. 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2021 года)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пункта 7.1 части 2 статьи 20 Федерального закона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326-Ф3 «Об обязательном медицинском страховании», Правил использования средств нормированного страхового запаса ТФОМС Липецкой области 30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 xml:space="preserve">2022 года подписаны соглашения с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 медицинскими органи</w:t>
      </w:r>
      <w:r>
        <w:rPr>
          <w:rFonts w:ascii="Times New Roman" w:hAnsi="Times New Roman" w:cs="Times New Roman"/>
          <w:sz w:val="28"/>
          <w:szCs w:val="28"/>
        </w:rPr>
        <w:t xml:space="preserve">зациями Липецкой области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 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планом, утвержденным управлением здравоохранения Липецкой области, объем финансирования указанных мероприятий за              </w:t>
      </w:r>
      <w:r>
        <w:rPr>
          <w:rFonts w:ascii="Times New Roman" w:hAnsi="Times New Roman" w:cs="Times New Roman"/>
          <w:sz w:val="28"/>
          <w:szCs w:val="28"/>
        </w:rPr>
        <w:t xml:space="preserve">9 месяцев 2022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в том числе на дополнительное профессиональное образование - 1,</w:t>
      </w:r>
      <w:r>
        <w:rPr>
          <w:rFonts w:ascii="Times New Roman" w:hAnsi="Times New Roman" w:cs="Times New Roman"/>
          <w:sz w:val="28"/>
          <w:szCs w:val="28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 (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работников), на ремонт медицинского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 (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техники)</w:t>
      </w:r>
      <w:r>
        <w:rPr>
          <w:rFonts w:ascii="Times New Roman" w:hAnsi="Times New Roman" w:cs="Times New Roman"/>
          <w:sz w:val="28"/>
          <w:szCs w:val="28"/>
        </w:rPr>
        <w:t xml:space="preserve">, на приобретение медицинского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10,3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 (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единиц медицинской техники)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2022 года перечислено в медицинские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29,2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в том числе на дополнительное профессиональное образование - 1,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 (</w:t>
      </w:r>
      <w:r>
        <w:rPr>
          <w:rFonts w:ascii="Times New Roman" w:hAnsi="Times New Roman" w:cs="Times New Roman"/>
          <w:sz w:val="28"/>
          <w:szCs w:val="28"/>
        </w:rPr>
        <w:t xml:space="preserve">511</w:t>
      </w:r>
      <w:r>
        <w:rPr>
          <w:rFonts w:ascii="Times New Roman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), на ремонт медицинского оборудования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 (3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единицы медицинской техники)</w:t>
      </w:r>
      <w:r>
        <w:rPr>
          <w:rFonts w:ascii="Times New Roman" w:hAnsi="Times New Roman" w:cs="Times New Roman"/>
          <w:sz w:val="28"/>
          <w:szCs w:val="28"/>
        </w:rPr>
        <w:t xml:space="preserve">, на приобретение медицинского оборудования 5,1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 (10 единиц медицинской техники)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Российской Федерации от 25.01.2022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71-р ТФОМС Липецкой области в целях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на 9 месяцев </w:t>
      </w:r>
      <w:r>
        <w:rPr>
          <w:rFonts w:ascii="Times New Roman" w:hAnsi="Times New Roman" w:cs="Times New Roman"/>
          <w:sz w:val="28"/>
          <w:szCs w:val="28"/>
        </w:rPr>
        <w:t xml:space="preserve">2022 года денежных средств в сумме </w:t>
      </w:r>
      <w:r>
        <w:rPr>
          <w:rFonts w:ascii="Times New Roman" w:hAnsi="Times New Roman" w:cs="Times New Roman"/>
          <w:sz w:val="28"/>
          <w:szCs w:val="28"/>
        </w:rPr>
        <w:t xml:space="preserve">81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оступило и направлено на формирование нормированного страхового запаса ТФОМС Липецкой области </w:t>
      </w:r>
      <w:r>
        <w:rPr>
          <w:rFonts w:ascii="Times New Roman" w:hAnsi="Times New Roman" w:cs="Times New Roman"/>
          <w:sz w:val="28"/>
          <w:szCs w:val="28"/>
        </w:rPr>
        <w:t xml:space="preserve">81</w:t>
      </w:r>
      <w:r>
        <w:rPr>
          <w:rFonts w:ascii="Times New Roman" w:hAnsi="Times New Roman" w:cs="Times New Roman"/>
          <w:sz w:val="28"/>
          <w:szCs w:val="28"/>
        </w:rPr>
        <w:t xml:space="preserve">,0</w:t>
      </w:r>
      <w:r>
        <w:rPr>
          <w:rFonts w:ascii="Times New Roman" w:hAnsi="Times New Roman" w:cs="Times New Roman"/>
          <w:sz w:val="28"/>
          <w:szCs w:val="28"/>
        </w:rPr>
        <w:t xml:space="preserve"> млн. рублей.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 труда врачей и среднего медицинского персонала было заключено 27 трехсторонних соглашений между </w:t>
      </w:r>
      <w:r>
        <w:rPr>
          <w:rFonts w:ascii="Times New Roman" w:hAnsi="Times New Roman" w:cs="Times New Roman"/>
          <w:sz w:val="28"/>
          <w:szCs w:val="28"/>
        </w:rPr>
        <w:t xml:space="preserve">ТФОМС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области, управлением здравоохранения Липецкой области и медицинскими организациями.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9 месяцев </w:t>
      </w:r>
      <w:r>
        <w:rPr>
          <w:rFonts w:ascii="Times New Roman" w:hAnsi="Times New Roman" w:cs="Times New Roman"/>
          <w:sz w:val="28"/>
          <w:szCs w:val="28"/>
        </w:rPr>
        <w:t xml:space="preserve">2022 года заявки на оплату труда врачей и среднего медицинского персонала из средств нормированного страхового запаса для </w:t>
      </w:r>
      <w:r>
        <w:rPr>
          <w:rFonts w:ascii="Times New Roman" w:hAnsi="Times New Roman" w:cs="Times New Roman"/>
          <w:sz w:val="28"/>
          <w:szCs w:val="28"/>
        </w:rPr>
        <w:t xml:space="preserve">софинансирования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поступили от 27 медицинских организаций, из них 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медицинских организаций показали прирост численности медицинских работников на общую сумму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аконом</w:t>
      </w:r>
      <w:r>
        <w:rPr>
          <w:rFonts w:ascii="Times New Roman" w:hAnsi="Times New Roman" w:cs="Times New Roman"/>
          <w:sz w:val="28"/>
          <w:szCs w:val="28"/>
        </w:rPr>
        <w:t xml:space="preserve"> от 29.11.2010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№326-ФЗ «Об обязательном медицинском страховании в Российской Федерации» и действующими нормативными документами в области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, ТФОМС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финансовых средств обязательного медицинского страхования медицинскими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страховыми медицинскими организациями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проверок. 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Основанием для проведения проверки являлся приказ директора ТФОМС Липецкой области, который определял тему проверки, проверяемый период, руководителя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комиссии,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состав комиссии, сроки проведения проверки, форму проверки.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план проверок 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 месяцев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2022 года включены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медицински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й и 2 страховые медицинские организации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9 месяцев 2022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года проведено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в том числе: в медицинских организациях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37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плановых проверок,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из них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комплексны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2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тематические проверки; в страховых медицинских организациях - 2 плановые комплексные проверки,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внеплановы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ок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/>
    </w:p>
    <w:p>
      <w:pPr>
        <w:ind w:firstLine="426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Остаток не восстановленных средств ОМС по состоянию на 01.01.2022 года составил 501,3 тыс. руб. 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По итогам проверок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9 месяцев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2022 года в медицинских организациях выявлено нецелевое использование средств обязательного медицинского страхования на сумму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2728,4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тыс. руб.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а именно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«В результате необоснованно запрошенных дополнительных сумм финансирования» - 38,4 тыс. руб.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1,4% от выявленной суммы нецелевого использования средств ОМС: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31,6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средства  НСЗ направлены на повышение квалификации работников по темам, не связанным с реализацией программы ОМС;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6,8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из средств НСЗ в части </w:t>
      </w:r>
      <w:r>
        <w:rPr>
          <w:rFonts w:ascii="Times New Roman" w:hAnsi="Times New Roman" w:eastAsia="Calibri" w:cs="Times New Roman"/>
          <w:bCs/>
          <w:iCs/>
          <w:sz w:val="28"/>
          <w:szCs w:val="28"/>
          <w:lang w:eastAsia="ru-RU"/>
        </w:rPr>
        <w:t xml:space="preserve">софинансирования</w:t>
      </w:r>
      <w:r>
        <w:rPr>
          <w:rFonts w:ascii="Times New Roman" w:hAnsi="Times New Roman" w:eastAsia="Calibri" w:cs="Times New Roman"/>
          <w:bCs/>
          <w:iCs/>
          <w:sz w:val="28"/>
          <w:szCs w:val="28"/>
          <w:lang w:eastAsia="ru-RU"/>
        </w:rPr>
        <w:t xml:space="preserve"> расходов на оплату труда врачей и среднего медицинского персонала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излишне начислена заработная плата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«Оплата видов медицинской помощи, не включенных в территориальную программу ОМС» - 894,2 тыс. руб.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32,8% от выявленной суммы нецелевого использования средств ОМС:</w:t>
      </w:r>
      <w:r/>
    </w:p>
    <w:p>
      <w:pPr>
        <w:ind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- 57,1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приобретение антирабической вакцины для профилактики бешенства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left="-284"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- 15,1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предрейсовые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осмотры водителей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- 74,2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обучение по темам не связанным с оказанием медицинской помощи в рамках территориальной программы  ОМС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- 31,3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оплата медицинской помощи незастрахованным по ОМС гражданам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- 3,9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- обеспечение в Военных комиссариатах медицинского освидетельствования граждан;</w:t>
      </w:r>
      <w:r/>
    </w:p>
    <w:p>
      <w:pPr>
        <w:ind w:firstLine="72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- 591,9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выплата заработной платы логопеду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- 120,7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выплата надбавок за работу с ВИЧ инфицированными больными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«Оплата расходов, не включенных в тарифы на оплату медицинской помощи в рамках территориальной программы ОМС»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- 1255,8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или  46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,1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% от выявленной суммы нецелевого использования средств ОМС:</w:t>
      </w:r>
      <w:r/>
    </w:p>
    <w:p>
      <w:pPr>
        <w:ind w:left="-284" w:firstLine="992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- 88,0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арендная плата за пользование земельным участком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left="-284" w:firstLine="992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- 310,2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работы по проведению капитального ремонта зданий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 </w:t>
      </w:r>
      <w:r/>
    </w:p>
    <w:p>
      <w:pPr>
        <w:ind w:firstLine="708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- 48,0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оплата медицинских услуг по выявлению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коронавируса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у работников медицинской организации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8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- 35,7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оплата материальных запасов, не связанных с оказанием медицинской помощи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992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- 129,9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тыс. руб.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оплата коммунальных и эксплуатационных расходов за счет средств ОМС с превышением пропорциональной доли дохода в суммарном объеме доходов по всем источникам финансирования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- 25,0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корректировка сметной документации по капитальному ремонту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left="-284"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- 24,7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оплата штрафа за нецелевое использование средств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left="-284"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- 131,3 тыс. руб. - оплата аудиторских услуг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- 13,7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ремонт оборудования, не связанного с оказанием медицинской помощи в рамках территориальной программы  ОМС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left="-284"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- 71,5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-  приобретение краски для бордюров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- 90,0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-  проведение обследования строительных конструкций помещений, в которых планируется размещение тяжелого оборудования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- 287,8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выплата материальной помощи работникам медицинской организации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8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«Финансирование структурных подразделений (служб) медицинских организаций, финансируемых из иных источников» - 93,5 тыс. руб.,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3,4% от выявленной суммы нецелевого использования средств ОМС,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в том числе:</w:t>
      </w:r>
      <w:r/>
    </w:p>
    <w:p>
      <w:pPr>
        <w:ind w:left="-284" w:firstLine="992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- 2,4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обучение специалистов молочной кухни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992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- 3,5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расходы по переоформлению лицензии отделения сестринского ухода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992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- 57,9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расходы на приобретение медикаментов для пациентов, получающих высокотехнологичную медицинскую помощь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8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- 29,7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расходы на приобретение реактивов для оказания медицинской помощи на платной основе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«Расходование сре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дств св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ерх норм, установленных соответствующими  министерствами, ведомствами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284,6 тыс. руб.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10,4% от выявленной суммы нецелевого использования средств ОМС: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- 39,9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- доплаты компенсационного характера работникам, занятым с вредными условиями труда сверх размеров установленных картами аттестации рабочих мест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 </w:t>
      </w:r>
      <w:r/>
    </w:p>
    <w:p>
      <w:pPr>
        <w:ind w:left="-284" w:firstLine="993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- 5,0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излишне выплачены суточные и оплачено проживание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- 239,7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- выплаты стимулирующего характера, с учетом начислений, произведенные с превышением установленных норм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8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«Расходование  сре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дств пр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и отсутствии подтверждающих документов» -  115,1 тыс. руб.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4,2% от выявленной   суммы нецелевого использования средств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ОМС:</w:t>
      </w:r>
      <w:r/>
    </w:p>
    <w:p>
      <w:pPr>
        <w:ind w:firstLine="709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0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- 115,1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.- выплата заработной платы, с учетом начислений, при отсутствии  сертификата специалиста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/>
    </w:p>
    <w:p>
      <w:pPr>
        <w:ind w:firstLine="708"/>
        <w:jc w:val="both"/>
        <w:spacing w:after="0" w:line="240" w:lineRule="auto"/>
        <w:tabs>
          <w:tab w:val="left" w:pos="426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«Оплата собственных обязательств, не связанных с деятельностью по обязательному медицинскому страхованию» 46,8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или 1,7% от выявленной суммы нецелевого использования средств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ОМС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расход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ование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средств до вхождени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я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организации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в систему ОМС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)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.</w:t>
      </w:r>
      <w:r/>
    </w:p>
    <w:p>
      <w:pPr>
        <w:ind w:firstLine="284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0"/>
          <w:lang w:eastAsia="zh-CN"/>
        </w:rPr>
        <w:t xml:space="preserve">   Возвращено в бюджет ТФОМС Липецкой области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соответствии с требованиями Федерального закона от 29.11.2010 № 326-ФЗ «Об обязательном медицинском страховании в Российской Федерации» 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1430,8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284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Остаток невосстановленных средств ОМС по состоянию на 01.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.2022 года  составляет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1798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color w:val="ff0000"/>
          <w:sz w:val="28"/>
          <w:szCs w:val="28"/>
          <w:lang w:eastAsia="ru-RU"/>
        </w:rPr>
        <w:t xml:space="preserve">. </w:t>
      </w:r>
      <w:r/>
    </w:p>
    <w:p>
      <w:pPr>
        <w:ind w:firstLine="426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Сумма предъявленных штрафов, пеней по результатам проверок деятельности страховых медицинских организаций и медицинских организаций в сфере обязательного медицинского страхования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 9 месяцев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2022 года составила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3868,5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тыс. руб., в том числе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: </w:t>
      </w:r>
      <w:r/>
    </w:p>
    <w:p>
      <w:pPr>
        <w:ind w:left="-142"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медицинским  организациям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687,8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тыс. руб., </w:t>
      </w:r>
      <w:r/>
    </w:p>
    <w:p>
      <w:pPr>
        <w:ind w:left="-142"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страховым  медицинским организациям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180,7 тыс. руб.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том числе :</w:t>
      </w:r>
      <w:r/>
    </w:p>
    <w:p>
      <w:pPr>
        <w:ind w:firstLine="398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Calibri"/>
          <w:sz w:val="28"/>
          <w:szCs w:val="28"/>
        </w:rPr>
        <w:t xml:space="preserve">непредставление (несвоевременное представление) территориальному фонду отчетности, определенной Федеральным фондом в соответствии с пунктом 5 части 8 статьи 33 Федерального закона  для страховой медицинской организации предусмотрен </w:t>
      </w:r>
      <w:r>
        <w:rPr>
          <w:rFonts w:ascii="Times New Roman" w:hAnsi="Times New Roman" w:eastAsia="Calibri" w:cs="Calibri"/>
          <w:sz w:val="28"/>
          <w:szCs w:val="28"/>
        </w:rPr>
        <w:t xml:space="preserve">-</w:t>
      </w:r>
      <w:r>
        <w:rPr>
          <w:rFonts w:ascii="Times New Roman" w:hAnsi="Times New Roman" w:eastAsia="Calibri" w:cs="Calibri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117,7 </w:t>
      </w:r>
      <w:r>
        <w:rPr>
          <w:rFonts w:ascii="Times New Roman" w:hAnsi="Times New Roman" w:eastAsia="Calibri" w:cs="Times New Roman"/>
          <w:sz w:val="28"/>
          <w:szCs w:val="28"/>
        </w:rPr>
        <w:t xml:space="preserve">тыс</w:t>
      </w:r>
      <w:r>
        <w:rPr>
          <w:rFonts w:ascii="Times New Roman" w:hAnsi="Times New Roman" w:eastAsia="Calibri" w:cs="Times New Roman"/>
          <w:sz w:val="28"/>
          <w:szCs w:val="28"/>
        </w:rPr>
        <w:t xml:space="preserve">.р</w:t>
      </w:r>
      <w:r>
        <w:rPr>
          <w:rFonts w:ascii="Times New Roman" w:hAnsi="Times New Roman" w:eastAsia="Calibri" w:cs="Times New Roman"/>
          <w:sz w:val="28"/>
          <w:szCs w:val="28"/>
        </w:rPr>
        <w:t xml:space="preserve">уб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  <w:t xml:space="preserve">;</w:t>
      </w:r>
      <w:r/>
    </w:p>
    <w:p>
      <w:pPr>
        <w:ind w:firstLine="3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внесение в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региональный сегмент единого регистра застрахованных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записей, содержащих недостоверные сведения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63,0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398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Остаток задолженности по штрафам по результатам проверок по состоянию  на 01.01.2022 года  составлял  7,1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</w:t>
      </w:r>
      <w:r/>
    </w:p>
    <w:p>
      <w:pPr>
        <w:ind w:left="-142"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Получено в отчетном периоде  штрафов на сумму 3710,0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Остаток задолженности по штрафам по результатам проверок по состоянию на 01.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.2022 года составил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165,6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  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внутреннего контроля объемов, сроков, качества и условий предоставления медицинской помощи влияет на образование финансовых потерь в медицинских организациях.</w:t>
      </w:r>
      <w:r/>
    </w:p>
    <w:p>
      <w:pPr>
        <w:contextualSpacing/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медицинских организаций финансовые потери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частичной или полной неоплаты медицинской помощи 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 xml:space="preserve">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768,2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/>
        <w:ind w:firstLine="709"/>
        <w:jc w:val="both"/>
        <w:spacing w:after="0" w:line="240" w:lineRule="atLeast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проверок за </w:t>
      </w:r>
      <w:r>
        <w:rPr>
          <w:rFonts w:ascii="Times New Roman" w:hAnsi="Times New Roman" w:cs="Times New Roman"/>
          <w:sz w:val="28"/>
          <w:szCs w:val="28"/>
        </w:rPr>
        <w:t xml:space="preserve">9 месяцев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сумма неэффективного использования средств ОМС составила </w:t>
      </w:r>
      <w:r>
        <w:rPr>
          <w:rFonts w:ascii="Times New Roman" w:hAnsi="Times New Roman" w:cs="Times New Roman"/>
          <w:sz w:val="28"/>
          <w:szCs w:val="28"/>
        </w:rPr>
        <w:t xml:space="preserve"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86,5</w:t>
      </w:r>
      <w:r>
        <w:rPr>
          <w:rFonts w:ascii="Times New Roman" w:hAnsi="Times New Roman" w:cs="Times New Roman"/>
          <w:sz w:val="28"/>
          <w:szCs w:val="28"/>
        </w:rPr>
        <w:t xml:space="preserve">ты</w:t>
      </w:r>
      <w:r>
        <w:rPr>
          <w:rFonts w:ascii="Times New Roman" w:hAnsi="Times New Roman" w:cs="Times New Roman"/>
          <w:b/>
          <w:sz w:val="28"/>
          <w:szCs w:val="28"/>
        </w:rPr>
        <w:t xml:space="preserve">с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уб.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числе:</w:t>
      </w:r>
      <w:r/>
    </w:p>
    <w:p>
      <w:pPr>
        <w:contextualSpacing/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неэффективное использование средств ОМС в виде оплаты штрафных санкций по предписаниям страховых медицинских организаций по результатам медико-экономического контроля, медико-экономической экспертизы, экспертизы качества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946,1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.;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лекарственные средства, с истекшим сроком годности, находящиеся в карантинной зоне или переданные на уничтожение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45,7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лекарственные средства с ограниченным сроком годности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141,2 тыс. руб.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after="0" w:line="240" w:lineRule="atLeast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судебные расходы, пени, неустойки по заключенным контрактам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553,5 </w:t>
      </w:r>
      <w:r>
        <w:rPr>
          <w:rFonts w:ascii="Times New Roman" w:hAnsi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исключения случаев неэффективного использования  денежных средств ОМС административно-управленческому составу медицинских организаций необходимо: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недопущения ш</w:t>
      </w:r>
      <w:r>
        <w:rPr>
          <w:rFonts w:ascii="Times New Roman" w:hAnsi="Times New Roman" w:cs="Times New Roman"/>
          <w:sz w:val="28"/>
          <w:szCs w:val="28"/>
        </w:rPr>
        <w:t xml:space="preserve">трафных санкций по предписаниям страховых медицинских организаций усилить </w:t>
      </w:r>
      <w:r>
        <w:rPr>
          <w:rFonts w:ascii="Times New Roman" w:hAnsi="Times New Roman" w:cs="Times New Roman"/>
          <w:sz w:val="28"/>
          <w:szCs w:val="28"/>
        </w:rPr>
        <w:t xml:space="preserve">внутренний контроль объемов, сроков, качества и условий предоставления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контролировать качество формирования заявок на медикаменты, химические реактивы и расходные материалы;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в постоянном режиме контроль учета медикаментов, химических реактивов и расходных материалов и использовать эти данные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рациональных запасов медикаментов, а также своевременно принимать меры по реализации лекарственных средств с истекающим сроком годности.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Выявленные при проверках нарушения приводят к временному отвлечению средств обязательного медицинского страхования, снижению финансовой устойчивости и образованию кредиторской задолженности в медицинских организациях. 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 в медицинских организациях фактов нецелевого и неэффективного использования средств ОМС является дополнительным источником для своевременных расчетов с поставщиками за материальные ценности, и как следствие - снижению кредиторской задолженности.</w:t>
      </w:r>
      <w:r/>
    </w:p>
    <w:p>
      <w:pPr>
        <w:ind w:firstLine="709"/>
        <w:jc w:val="both"/>
        <w:spacing w:after="0" w:line="240" w:lineRule="auto"/>
        <w:shd w:val="clear" w:color="auto" w:fill="ffffff"/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В целях недопущения неэффективного и нецелевого использования средств обязательного медицинского страхования по итогам проверок медицинским организациям рекомендовано осуществлять внутренний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контроль за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соблюдением финансово-хозяйственной деятельности в соответствии с требованиями, установленными законодательством Российской  Федерации.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Просроченная кредиторская задолженность государственных медицинских организаций перед поставщиками за поставленные материальные ценности и оказанные услуги на 01.01.2022 года составила 237,4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в течение </w:t>
      </w:r>
      <w:r>
        <w:rPr>
          <w:rFonts w:ascii="Times New Roman" w:hAnsi="Times New Roman" w:cs="Times New Roman"/>
          <w:sz w:val="28"/>
          <w:szCs w:val="28"/>
        </w:rPr>
        <w:t xml:space="preserve">9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просроченная кредиторская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увеличилась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36,4</w:t>
      </w:r>
      <w:r>
        <w:rPr>
          <w:rFonts w:ascii="Times New Roman" w:hAnsi="Times New Roman" w:cs="Times New Roman"/>
          <w:sz w:val="28"/>
          <w:szCs w:val="28"/>
        </w:rPr>
        <w:t xml:space="preserve">% и на 01.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.2022 года составила </w:t>
      </w:r>
      <w:r>
        <w:rPr>
          <w:rFonts w:ascii="Times New Roman" w:hAnsi="Times New Roman" w:cs="Times New Roman"/>
          <w:sz w:val="28"/>
          <w:szCs w:val="28"/>
        </w:rPr>
        <w:t xml:space="preserve">323,7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просроченная кредиторская задолженность на 01.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.2022 года образовалась в следующих медицинских организациях: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ГУЗ «Елецкая ГДБ» - </w:t>
      </w:r>
      <w:r>
        <w:rPr>
          <w:rFonts w:ascii="Times New Roman" w:hAnsi="Times New Roman" w:cs="Times New Roman"/>
          <w:sz w:val="28"/>
          <w:szCs w:val="28"/>
        </w:rPr>
        <w:t xml:space="preserve">46,4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в том числе по подоходному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, по</w:t>
      </w:r>
      <w:r>
        <w:rPr>
          <w:rFonts w:ascii="Times New Roman" w:hAnsi="Times New Roman" w:cs="Times New Roman"/>
          <w:sz w:val="28"/>
          <w:szCs w:val="28"/>
        </w:rPr>
        <w:t xml:space="preserve"> начислениям на зарплату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по расчетам за коммунальные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медикаменты и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8,7</w:t>
      </w:r>
      <w:r>
        <w:rPr>
          <w:rFonts w:ascii="Times New Roman" w:hAnsi="Times New Roman" w:cs="Times New Roman"/>
          <w:sz w:val="28"/>
          <w:szCs w:val="28"/>
        </w:rPr>
        <w:t xml:space="preserve"> млн. руб.;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ГУЗ «Елецкая РБ» - </w:t>
      </w:r>
      <w:r>
        <w:rPr>
          <w:rFonts w:ascii="Times New Roman" w:hAnsi="Times New Roman" w:cs="Times New Roman"/>
          <w:sz w:val="28"/>
          <w:szCs w:val="28"/>
        </w:rPr>
        <w:t xml:space="preserve">31,3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по подоходному налогу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5,0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по начислениям на зарплату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., по расчетам за медикаменты </w:t>
      </w:r>
      <w:r>
        <w:rPr>
          <w:rFonts w:ascii="Times New Roman" w:hAnsi="Times New Roman" w:cs="Times New Roman"/>
          <w:sz w:val="28"/>
          <w:szCs w:val="28"/>
        </w:rPr>
        <w:t xml:space="preserve">и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., по расчетам за коммунальные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 xml:space="preserve">за медикаменты и продукты питания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4,4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ГУЗ «Областная детская больница» - 23,3 </w:t>
      </w:r>
      <w:r>
        <w:rPr>
          <w:rFonts w:ascii="Times New Roman" w:hAnsi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cs="Times New Roman"/>
          <w:sz w:val="28"/>
          <w:szCs w:val="28"/>
        </w:rPr>
        <w:t xml:space="preserve">., в том числе по р</w:t>
      </w:r>
      <w:r>
        <w:rPr>
          <w:rFonts w:ascii="Times New Roman" w:hAnsi="Times New Roman" w:cs="Times New Roman"/>
          <w:sz w:val="28"/>
          <w:szCs w:val="28"/>
        </w:rPr>
        <w:t xml:space="preserve">асчетам за коммунальные услуги -</w:t>
      </w:r>
      <w:r>
        <w:rPr>
          <w:rFonts w:ascii="Times New Roman" w:hAnsi="Times New Roman" w:cs="Times New Roman"/>
          <w:sz w:val="28"/>
          <w:szCs w:val="28"/>
        </w:rPr>
        <w:t xml:space="preserve"> 4,2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., за медикаменты и продукты питания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15,3 </w:t>
      </w:r>
      <w:r>
        <w:rPr>
          <w:rFonts w:ascii="Times New Roman" w:hAnsi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tLeast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рамках контр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оля объемов, сроков, качества и условий оказания медицинской помощи, оказанной медицинскими организациями Липецкой области, специалистами СМО в отчетном периоде проводились экспертные мероприятия в соответствии с действующими нормативными правовыми актами.</w:t>
      </w:r>
      <w:r/>
    </w:p>
    <w:p>
      <w:pPr>
        <w:ind w:firstLine="709"/>
        <w:jc w:val="both"/>
        <w:spacing w:after="0" w:line="240" w:lineRule="atLeast"/>
        <w:widowControl w:val="off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Приказом Минздрава России от 19.03.2021 №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231н утвержден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 месяцев 2022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подвергнуто экспертизам 205,3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траховых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случаев медицинской помощи, оказанных гражданам, застрахованным на территории Липецкой области, в том числе в ходе плановых проверок 49,0 тыс.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 проведении медико-экономических экспертиз (МЭЭ) за период январь-сентябрь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2022 года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было проанализировано 180,5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лучаев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оказания медицинской помощи, в том числе при целевых проверках 141,7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тыс.случаев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результате МЭЭ были установлены 13,7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арушений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(8%), отмечается уменьшение количества дефектов в сравнении с аналогичным периодом 2021 года, когда  данный по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казатель составлял 17%. 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 нарушений по причине «непредставление первичной медицинской документации, подтверждающей факт оказания ЗЛ медицинской помощи», составило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096 или 74% от общего количества нарушений.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Количество нарушений по причине «несоответствие данных первичной медицинской документации данным реестра счетов» составило - 1586 или 12% от общего количества нарушений.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ходе экспертиз качества медицинской помощи (ЭКМП) было проанализировано 24,8 тыс. слу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чаев оказания медицинской помощи, в том числе при целевых проверках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14,7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лучаев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 результате ЭКМП были установлены 5,6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тыс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арушений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(23%), отмечается увеличение в сравнении с аналогичным периодом 2021 года, когда данный показатель составлял 21%.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По итогам МЭЭ и ЭКМП к медицинским организациям применены финан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совые санкции в размере 64,8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(2021 год - 84,4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млн.руб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.).</w:t>
      </w:r>
      <w:r/>
    </w:p>
    <w:p>
      <w:pPr>
        <w:ind w:firstLine="57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9 месяцев 2022 года проведено 115 583 контрольно-экспертных мероприятия по случаям оказания медицинской помощи пациентам с подозрением на злокачественные новообразования (ЗНО) и/или с подтвержденным диагнозом ЗНО, в том числе 99 </w:t>
      </w:r>
      <w:r>
        <w:rPr>
          <w:rFonts w:ascii="Times New Roman" w:hAnsi="Times New Roman" w:cs="Times New Roman"/>
          <w:sz w:val="28"/>
          <w:szCs w:val="28"/>
        </w:rPr>
        <w:t xml:space="preserve">009 медико-экономического контроля, 15 928 медико-экономических экспертиз, 646 экспертиз качества медицинской помощи. По результатам контрольно-экспертных мероприятий выявлено 4007 дефектов, в том числе 1131 по страховым случаям с применением химиотерапии.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ind w:firstLine="57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 месяцев 2022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специалистами ТФОМС Липецкой об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ласти 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экспертами качества медицинской помощи, входящими в реестр экспер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тов качества медицинской помощи, привлекаемыми на договорной основе, прово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дились повторные медико-экономические экспертизы и  экспертизы качества медицинской помощи.</w:t>
      </w:r>
      <w:r/>
    </w:p>
    <w:p>
      <w:pPr>
        <w:ind w:firstLine="570"/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Количество страховых</w:t>
      </w:r>
      <w:r>
        <w:rPr>
          <w:rFonts w:ascii="Times New Roman" w:hAnsi="Times New Roman" w:eastAsia="Calibri" w:cs="Times New Roman"/>
          <w:sz w:val="28"/>
          <w:szCs w:val="28"/>
        </w:rPr>
        <w:t xml:space="preserve"> случаев, подвергшихся повторной МЭЭ,  составило 12662; количество страховых случаев, подвергшихся повторной ЭКМП составило 928, что соответствует требованиям приказа ФФОМС от 19.03.2021 №231н «Об утверждении Порядка проведения контроля объемов, сроков, ка</w:t>
      </w:r>
      <w:r>
        <w:rPr>
          <w:rFonts w:ascii="Times New Roman" w:hAnsi="Times New Roman" w:eastAsia="Calibri" w:cs="Times New Roman"/>
          <w:sz w:val="28"/>
          <w:szCs w:val="28"/>
        </w:rPr>
        <w:t xml:space="preserve">чества и условий предоставления медицинской помощи по обязательному медицинскому страхованию, а также ее финансового обеспечения».</w:t>
      </w:r>
      <w:r/>
    </w:p>
    <w:p>
      <w:pPr>
        <w:ind w:firstLine="570"/>
        <w:jc w:val="both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Установлены нарушения в 155 случаях (1,1%), допущенные медицинскими организациями, но не выявленные СМО при первичном проведении экспертиз.  По итогам  повторных экспертиз к СМО  применены   штрафные санкци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в размере 903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 xml:space="preserve">100,36 руб. - 10% от суммы, необоснованно оплаченной   медицинским организациям.  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 месяцев 2022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ТФОМС Липецкой области и СМО было рассмотрено 72582 обраще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ния. В сравнении с аналогичным периодом 2021 года количество обращений увеличилось на 308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штук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обращений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за разъяснениями составило 72447 (99,8% от общего количества обращений), наибольшее количество по во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просам выбора и/или замены СМО, МО, врача и обеспечения выдачи полисов - 62868 или 87% от общего количества от обращений за разъяснениями.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 месяцев 2022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поступило 130 жалоб или 0,2% от общего числа обращений; в 2021 году данный показатель составил 134 жалобы (0,2%).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Все жалобы рассмотрены в досудебном порядке, обоснованными признано 76 (59%), за аналогичный период  2021 года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-</w:t>
      </w:r>
      <w:bookmarkStart w:id="0" w:name="_GoBack"/>
      <w:r/>
      <w:bookmarkEnd w:id="0"/>
      <w:r>
        <w:rPr>
          <w:rFonts w:ascii="Times New Roman" w:hAnsi="Times New Roman" w:eastAsia="Times New Roman" w:cs="Times New Roman"/>
          <w:sz w:val="28"/>
          <w:szCs w:val="28"/>
        </w:rPr>
        <w:t xml:space="preserve"> 87 жалоб (65%) были признаны обоснованными.</w:t>
      </w:r>
      <w:r/>
    </w:p>
    <w:p>
      <w:pPr>
        <w:ind w:firstLine="700"/>
        <w:jc w:val="both"/>
        <w:spacing w:after="0" w:line="240" w:lineRule="auto"/>
        <w:widowControl w:val="o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Структура обоснованных жалоб по причинам сложилась следующим обра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зом:</w:t>
      </w:r>
      <w:r/>
    </w:p>
    <w:p>
      <w:pPr>
        <w:numPr>
          <w:ilvl w:val="0"/>
          <w:numId w:val="6"/>
        </w:numPr>
        <w:jc w:val="both"/>
        <w:spacing w:after="0" w:line="240" w:lineRule="auto"/>
        <w:widowControl w:val="off"/>
        <w:tabs>
          <w:tab w:val="left" w:pos="1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23 жалобы (30%)на организацию работы медицинских организаций;</w:t>
      </w:r>
      <w:r/>
    </w:p>
    <w:p>
      <w:pPr>
        <w:numPr>
          <w:ilvl w:val="0"/>
          <w:numId w:val="6"/>
        </w:numPr>
        <w:jc w:val="both"/>
        <w:spacing w:after="0" w:line="240" w:lineRule="auto"/>
        <w:widowControl w:val="off"/>
        <w:tabs>
          <w:tab w:val="left" w:pos="1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48 жалоб (63%) на оказание медицинской помощи;</w:t>
      </w:r>
      <w:r/>
    </w:p>
    <w:p>
      <w:pPr>
        <w:numPr>
          <w:ilvl w:val="0"/>
          <w:numId w:val="6"/>
        </w:numPr>
        <w:jc w:val="both"/>
        <w:spacing w:after="0" w:line="240" w:lineRule="auto"/>
        <w:widowControl w:val="off"/>
        <w:tabs>
          <w:tab w:val="left" w:pos="1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1 жалоба (1%) на нарушение прав на выбор медицинской организации;</w:t>
      </w:r>
      <w:r/>
    </w:p>
    <w:p>
      <w:pPr>
        <w:numPr>
          <w:ilvl w:val="0"/>
          <w:numId w:val="6"/>
        </w:numPr>
        <w:jc w:val="both"/>
        <w:spacing w:after="0" w:line="240" w:lineRule="auto"/>
        <w:widowControl w:val="off"/>
        <w:tabs>
          <w:tab w:val="left" w:pos="1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2 жалобы (3%) на взимание денежных средств за оказанную медицинскую помощь;</w:t>
      </w:r>
      <w:r/>
    </w:p>
    <w:p>
      <w:pPr>
        <w:jc w:val="both"/>
        <w:spacing w:after="0" w:line="240" w:lineRule="exact"/>
        <w:widowControl w:val="off"/>
        <w:tabs>
          <w:tab w:val="left" w:pos="195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- 2 жалобы (3%) - другие причины обоснованных жалоб.</w:t>
      </w:r>
      <w:r/>
    </w:p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</w:r>
      <w:r/>
    </w:p>
    <w:p>
      <w:pPr>
        <w:ind w:firstLine="570"/>
        <w:jc w:val="both"/>
        <w:spacing w:after="0" w:line="240" w:lineRule="auto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709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9"/>
    <w:next w:val="60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1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1"/>
    <w:link w:val="61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9"/>
    <w:next w:val="60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9"/>
    <w:next w:val="60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9"/>
    <w:next w:val="60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9"/>
    <w:next w:val="60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9"/>
    <w:next w:val="60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9"/>
    <w:next w:val="60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9"/>
    <w:next w:val="60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09"/>
    <w:next w:val="60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1"/>
    <w:link w:val="34"/>
    <w:uiPriority w:val="10"/>
    <w:rPr>
      <w:sz w:val="48"/>
      <w:szCs w:val="48"/>
    </w:rPr>
  </w:style>
  <w:style w:type="paragraph" w:styleId="36">
    <w:name w:val="Subtitle"/>
    <w:basedOn w:val="609"/>
    <w:next w:val="60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1"/>
    <w:link w:val="36"/>
    <w:uiPriority w:val="11"/>
    <w:rPr>
      <w:sz w:val="24"/>
      <w:szCs w:val="24"/>
    </w:rPr>
  </w:style>
  <w:style w:type="paragraph" w:styleId="38">
    <w:name w:val="Quote"/>
    <w:basedOn w:val="609"/>
    <w:next w:val="60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9"/>
    <w:next w:val="60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1"/>
    <w:link w:val="42"/>
    <w:uiPriority w:val="99"/>
  </w:style>
  <w:style w:type="paragraph" w:styleId="44">
    <w:name w:val="Footer"/>
    <w:basedOn w:val="60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1"/>
    <w:link w:val="44"/>
    <w:uiPriority w:val="99"/>
  </w:style>
  <w:style w:type="paragraph" w:styleId="46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1"/>
    <w:uiPriority w:val="99"/>
    <w:unhideWhenUsed/>
    <w:rPr>
      <w:vertAlign w:val="superscript"/>
    </w:rPr>
  </w:style>
  <w:style w:type="paragraph" w:styleId="178">
    <w:name w:val="endnote text"/>
    <w:basedOn w:val="60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1"/>
    <w:uiPriority w:val="99"/>
    <w:semiHidden/>
    <w:unhideWhenUsed/>
    <w:rPr>
      <w:vertAlign w:val="superscript"/>
    </w:rPr>
  </w:style>
  <w:style w:type="paragraph" w:styleId="181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qFormat/>
  </w:style>
  <w:style w:type="paragraph" w:styleId="610">
    <w:name w:val="Heading 2"/>
    <w:basedOn w:val="609"/>
    <w:next w:val="609"/>
    <w:link w:val="624"/>
    <w:uiPriority w:val="9"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611" w:default="1">
    <w:name w:val="Default Paragraph Font"/>
    <w:uiPriority w:val="1"/>
    <w:semiHidden/>
    <w:unhideWhenUsed/>
  </w:style>
  <w:style w:type="table" w:styleId="6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3" w:default="1">
    <w:name w:val="No List"/>
    <w:uiPriority w:val="99"/>
    <w:semiHidden/>
    <w:unhideWhenUsed/>
  </w:style>
  <w:style w:type="paragraph" w:styleId="614">
    <w:name w:val="Body Text"/>
    <w:basedOn w:val="609"/>
    <w:link w:val="615"/>
    <w:pPr>
      <w:spacing w:after="120" w:line="240" w:lineRule="auto"/>
      <w:widowControl w:val="off"/>
    </w:pPr>
    <w:rPr>
      <w:rFonts w:ascii="Times New Roman" w:hAnsi="Times New Roman" w:eastAsia="Times New Roman" w:cs="Times New Roman"/>
      <w:sz w:val="20"/>
      <w:szCs w:val="20"/>
    </w:rPr>
  </w:style>
  <w:style w:type="character" w:styleId="615" w:customStyle="1">
    <w:name w:val="Основной текст Знак"/>
    <w:basedOn w:val="611"/>
    <w:link w:val="614"/>
    <w:rPr>
      <w:rFonts w:ascii="Times New Roman" w:hAnsi="Times New Roman" w:eastAsia="Times New Roman" w:cs="Times New Roman"/>
      <w:sz w:val="20"/>
      <w:szCs w:val="20"/>
    </w:rPr>
  </w:style>
  <w:style w:type="paragraph" w:styleId="616">
    <w:name w:val="List Paragraph"/>
    <w:basedOn w:val="609"/>
    <w:uiPriority w:val="34"/>
    <w:qFormat/>
    <w:pPr>
      <w:contextualSpacing/>
      <w:ind w:left="720"/>
    </w:pPr>
  </w:style>
  <w:style w:type="paragraph" w:styleId="617">
    <w:name w:val="Balloon Text"/>
    <w:basedOn w:val="609"/>
    <w:link w:val="61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8" w:customStyle="1">
    <w:name w:val="Текст выноски Знак"/>
    <w:basedOn w:val="611"/>
    <w:link w:val="617"/>
    <w:uiPriority w:val="99"/>
    <w:semiHidden/>
    <w:rPr>
      <w:rFonts w:ascii="Tahoma" w:hAnsi="Tahoma" w:cs="Tahoma"/>
      <w:sz w:val="16"/>
      <w:szCs w:val="16"/>
    </w:rPr>
  </w:style>
  <w:style w:type="character" w:styleId="619" w:customStyle="1">
    <w:name w:val="Основной текст_"/>
    <w:link w:val="620"/>
    <w:rPr>
      <w:rFonts w:ascii="Times New Roman" w:hAnsi="Times New Roman" w:eastAsia="Times New Roman" w:cs="Times New Roman"/>
      <w:sz w:val="27"/>
      <w:szCs w:val="27"/>
      <w:shd w:val="clear" w:color="auto" w:fill="ffffff"/>
    </w:rPr>
  </w:style>
  <w:style w:type="paragraph" w:styleId="620" w:customStyle="1">
    <w:name w:val="Основной текст2"/>
    <w:basedOn w:val="609"/>
    <w:link w:val="619"/>
    <w:pPr>
      <w:jc w:val="both"/>
      <w:spacing w:before="300" w:after="0" w:line="317" w:lineRule="exact"/>
      <w:shd w:val="clear" w:color="auto" w:fill="ffffff"/>
      <w:widowControl w:val="off"/>
    </w:pPr>
    <w:rPr>
      <w:rFonts w:ascii="Times New Roman" w:hAnsi="Times New Roman" w:eastAsia="Times New Roman" w:cs="Times New Roman"/>
      <w:sz w:val="27"/>
      <w:szCs w:val="27"/>
    </w:rPr>
  </w:style>
  <w:style w:type="paragraph" w:styleId="621">
    <w:name w:val="Normal (Web)"/>
    <w:basedOn w:val="609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22">
    <w:name w:val="No Spacing"/>
    <w:uiPriority w:val="1"/>
    <w:qFormat/>
    <w:pPr>
      <w:spacing w:after="0" w:line="240" w:lineRule="auto"/>
    </w:pPr>
  </w:style>
  <w:style w:type="character" w:styleId="623">
    <w:name w:val="Hyperlink"/>
    <w:basedOn w:val="611"/>
    <w:uiPriority w:val="99"/>
    <w:semiHidden/>
    <w:unhideWhenUsed/>
    <w:rPr>
      <w:color w:val="0000ff"/>
      <w:u w:val="single"/>
    </w:rPr>
  </w:style>
  <w:style w:type="character" w:styleId="624" w:customStyle="1">
    <w:name w:val="Заголовок 2 Знак"/>
    <w:basedOn w:val="611"/>
    <w:link w:val="610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A3BC-44BF-4261-A122-9B53A08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Ражина</dc:creator>
  <cp:revision>59</cp:revision>
  <dcterms:created xsi:type="dcterms:W3CDTF">2022-09-15T06:40:00Z</dcterms:created>
  <dcterms:modified xsi:type="dcterms:W3CDTF">2023-04-27T08:43:26Z</dcterms:modified>
</cp:coreProperties>
</file>